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8BA60" w14:textId="77777777" w:rsidR="00D74DA6" w:rsidRPr="00FD2ED3" w:rsidRDefault="00FD2ED3" w:rsidP="00FD2ED3">
      <w:pPr>
        <w:jc w:val="center"/>
        <w:rPr>
          <w:sz w:val="32"/>
          <w:szCs w:val="32"/>
        </w:rPr>
      </w:pPr>
      <w:bookmarkStart w:id="0" w:name="_GoBack"/>
      <w:bookmarkEnd w:id="0"/>
      <w:r w:rsidRPr="00FD2ED3">
        <w:rPr>
          <w:noProof/>
          <w:sz w:val="32"/>
          <w:szCs w:val="32"/>
          <w:lang w:eastAsia="en-GB"/>
        </w:rPr>
        <w:drawing>
          <wp:anchor distT="0" distB="0" distL="114300" distR="114300" simplePos="0" relativeHeight="251661312" behindDoc="1" locked="0" layoutInCell="1" allowOverlap="1" wp14:anchorId="6BB8049E" wp14:editId="0D961ADC">
            <wp:simplePos x="0" y="0"/>
            <wp:positionH relativeFrom="margin">
              <wp:posOffset>5180965</wp:posOffset>
            </wp:positionH>
            <wp:positionV relativeFrom="margin">
              <wp:posOffset>6985</wp:posOffset>
            </wp:positionV>
            <wp:extent cx="1200150" cy="944880"/>
            <wp:effectExtent l="0" t="0" r="0" b="7620"/>
            <wp:wrapTight wrapText="bothSides">
              <wp:wrapPolygon edited="0">
                <wp:start x="0" y="0"/>
                <wp:lineTo x="0" y="21339"/>
                <wp:lineTo x="21257" y="21339"/>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944880"/>
                    </a:xfrm>
                    <a:prstGeom prst="rect">
                      <a:avLst/>
                    </a:prstGeom>
                  </pic:spPr>
                </pic:pic>
              </a:graphicData>
            </a:graphic>
            <wp14:sizeRelH relativeFrom="margin">
              <wp14:pctWidth>0</wp14:pctWidth>
            </wp14:sizeRelH>
            <wp14:sizeRelV relativeFrom="margin">
              <wp14:pctHeight>0</wp14:pctHeight>
            </wp14:sizeRelV>
          </wp:anchor>
        </w:drawing>
      </w:r>
      <w:r w:rsidRPr="00FD2ED3">
        <w:rPr>
          <w:noProof/>
          <w:sz w:val="32"/>
          <w:szCs w:val="32"/>
          <w:lang w:eastAsia="en-GB"/>
        </w:rPr>
        <w:drawing>
          <wp:anchor distT="0" distB="0" distL="114300" distR="114300" simplePos="0" relativeHeight="251659264" behindDoc="1" locked="0" layoutInCell="1" allowOverlap="1" wp14:anchorId="52912E55" wp14:editId="26AB4680">
            <wp:simplePos x="0" y="0"/>
            <wp:positionH relativeFrom="margin">
              <wp:posOffset>-209550</wp:posOffset>
            </wp:positionH>
            <wp:positionV relativeFrom="margin">
              <wp:posOffset>-47625</wp:posOffset>
            </wp:positionV>
            <wp:extent cx="1200150" cy="944880"/>
            <wp:effectExtent l="0" t="0" r="0" b="7620"/>
            <wp:wrapTight wrapText="bothSides">
              <wp:wrapPolygon edited="0">
                <wp:start x="0" y="0"/>
                <wp:lineTo x="0" y="21339"/>
                <wp:lineTo x="21257" y="21339"/>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944880"/>
                    </a:xfrm>
                    <a:prstGeom prst="rect">
                      <a:avLst/>
                    </a:prstGeom>
                  </pic:spPr>
                </pic:pic>
              </a:graphicData>
            </a:graphic>
            <wp14:sizeRelH relativeFrom="margin">
              <wp14:pctWidth>0</wp14:pctWidth>
            </wp14:sizeRelH>
            <wp14:sizeRelV relativeFrom="margin">
              <wp14:pctHeight>0</wp14:pctHeight>
            </wp14:sizeRelV>
          </wp:anchor>
        </w:drawing>
      </w:r>
      <w:r w:rsidRPr="00FD2ED3">
        <w:rPr>
          <w:sz w:val="32"/>
          <w:szCs w:val="32"/>
        </w:rPr>
        <w:t xml:space="preserve">Braishfield </w:t>
      </w:r>
      <w:r w:rsidR="00AD25FD">
        <w:rPr>
          <w:sz w:val="32"/>
          <w:szCs w:val="32"/>
        </w:rPr>
        <w:t>Pantry</w:t>
      </w:r>
    </w:p>
    <w:p w14:paraId="76D2ADBE" w14:textId="77777777" w:rsidR="00FD2ED3" w:rsidRDefault="004E7070" w:rsidP="00FD2ED3">
      <w:pPr>
        <w:jc w:val="center"/>
        <w:rPr>
          <w:sz w:val="32"/>
          <w:szCs w:val="32"/>
        </w:rPr>
      </w:pPr>
      <w:r>
        <w:rPr>
          <w:sz w:val="32"/>
          <w:szCs w:val="32"/>
        </w:rPr>
        <w:t>Review Feb 2016 – Mar</w:t>
      </w:r>
      <w:r w:rsidR="00AC5626">
        <w:rPr>
          <w:sz w:val="32"/>
          <w:szCs w:val="32"/>
        </w:rPr>
        <w:t xml:space="preserve"> 2017</w:t>
      </w:r>
    </w:p>
    <w:p w14:paraId="0B604D0F" w14:textId="77777777" w:rsidR="00FD2ED3" w:rsidRDefault="00FD2ED3" w:rsidP="00FD2ED3">
      <w:pPr>
        <w:jc w:val="center"/>
        <w:rPr>
          <w:sz w:val="32"/>
          <w:szCs w:val="32"/>
        </w:rPr>
      </w:pPr>
    </w:p>
    <w:p w14:paraId="0878F5D2" w14:textId="77777777" w:rsidR="004D5CF3" w:rsidRPr="00BF7E82" w:rsidRDefault="004D5CF3" w:rsidP="004D5CF3">
      <w:pPr>
        <w:rPr>
          <w:b/>
          <w:sz w:val="24"/>
          <w:szCs w:val="24"/>
        </w:rPr>
      </w:pPr>
      <w:r w:rsidRPr="00BF7E82">
        <w:rPr>
          <w:b/>
          <w:sz w:val="24"/>
          <w:szCs w:val="24"/>
        </w:rPr>
        <w:t>Overview</w:t>
      </w:r>
    </w:p>
    <w:p w14:paraId="237B23B3" w14:textId="77777777" w:rsidR="0022606A" w:rsidRDefault="004E7070" w:rsidP="004D5CF3">
      <w:r>
        <w:t>This review covers the</w:t>
      </w:r>
      <w:r w:rsidR="00DC0C68">
        <w:t xml:space="preserve"> 14month perio</w:t>
      </w:r>
      <w:r>
        <w:t xml:space="preserve">d </w:t>
      </w:r>
      <w:r w:rsidR="00DC0C68">
        <w:t xml:space="preserve">from </w:t>
      </w:r>
      <w:r>
        <w:t>February 1</w:t>
      </w:r>
      <w:r w:rsidRPr="004E7070">
        <w:rPr>
          <w:vertAlign w:val="superscript"/>
        </w:rPr>
        <w:t>st</w:t>
      </w:r>
      <w:r>
        <w:t xml:space="preserve"> 2016 to March 31</w:t>
      </w:r>
      <w:r w:rsidRPr="004E7070">
        <w:rPr>
          <w:vertAlign w:val="superscript"/>
        </w:rPr>
        <w:t>st</w:t>
      </w:r>
      <w:r>
        <w:t xml:space="preserve"> 2017. </w:t>
      </w:r>
      <w:r w:rsidR="00000F0F">
        <w:t>In th</w:t>
      </w:r>
      <w:r>
        <w:t xml:space="preserve">is </w:t>
      </w:r>
      <w:r w:rsidR="008B7677">
        <w:t>time,</w:t>
      </w:r>
      <w:r>
        <w:t xml:space="preserve"> </w:t>
      </w:r>
      <w:r w:rsidR="00315D91" w:rsidRPr="00A205E0">
        <w:t xml:space="preserve">the </w:t>
      </w:r>
      <w:r w:rsidR="00AD25FD">
        <w:t>Pantry</w:t>
      </w:r>
      <w:r w:rsidR="00315D91" w:rsidRPr="00A205E0">
        <w:t xml:space="preserve"> has</w:t>
      </w:r>
      <w:r w:rsidR="00000F0F">
        <w:t xml:space="preserve"> established itself as a viable and respected service that is valued by the community. </w:t>
      </w:r>
    </w:p>
    <w:p w14:paraId="46155C86" w14:textId="77777777" w:rsidR="00BF46AA" w:rsidRDefault="004E7070" w:rsidP="004D5CF3">
      <w:r>
        <w:t>Average s</w:t>
      </w:r>
      <w:r w:rsidR="00000F0F">
        <w:t>ales per day of £27</w:t>
      </w:r>
      <w:r>
        <w:t>1</w:t>
      </w:r>
      <w:r w:rsidR="00000F0F">
        <w:t xml:space="preserve"> compared to £218 in </w:t>
      </w:r>
      <w:r>
        <w:t xml:space="preserve">the </w:t>
      </w:r>
      <w:bookmarkStart w:id="1" w:name="_Hlk482002335"/>
      <w:r w:rsidR="00233A58">
        <w:t>12-month</w:t>
      </w:r>
      <w:r>
        <w:t xml:space="preserve"> period </w:t>
      </w:r>
      <w:r w:rsidR="008B7677">
        <w:t xml:space="preserve">Feb 2015 – Jan </w:t>
      </w:r>
      <w:r w:rsidR="00000F0F">
        <w:t>201</w:t>
      </w:r>
      <w:r w:rsidR="008B7677">
        <w:t>6</w:t>
      </w:r>
      <w:r w:rsidR="00000F0F">
        <w:t xml:space="preserve"> </w:t>
      </w:r>
      <w:bookmarkEnd w:id="1"/>
      <w:r w:rsidR="00000F0F">
        <w:t>and approximately 260 transactions per week demonstrate the usage</w:t>
      </w:r>
      <w:r w:rsidR="0022606A">
        <w:t>. W</w:t>
      </w:r>
      <w:r w:rsidR="00000F0F">
        <w:t xml:space="preserve">e continue to see </w:t>
      </w:r>
      <w:r w:rsidR="00D11C5F">
        <w:t xml:space="preserve">people meeting in the </w:t>
      </w:r>
      <w:r w:rsidR="00AD25FD">
        <w:t>Pantry</w:t>
      </w:r>
      <w:r w:rsidR="00D11C5F">
        <w:t xml:space="preserve"> </w:t>
      </w:r>
      <w:r w:rsidR="00000F0F">
        <w:t>on a regular basis</w:t>
      </w:r>
      <w:r w:rsidR="0022606A">
        <w:t xml:space="preserve"> and are attracting more and more cyclists and walkers</w:t>
      </w:r>
      <w:r w:rsidR="00000F0F">
        <w:t xml:space="preserve">. </w:t>
      </w:r>
      <w:r w:rsidR="0022606A">
        <w:t xml:space="preserve">However, the mainstay is the regular customers who continue to use the </w:t>
      </w:r>
      <w:r w:rsidR="00AD25FD">
        <w:t>Pantry</w:t>
      </w:r>
      <w:r w:rsidR="0022606A">
        <w:t xml:space="preserve"> for both convenience foods as well as the more distinct local produce. The Community focus of the </w:t>
      </w:r>
      <w:r w:rsidR="00AD25FD">
        <w:t>Pantry</w:t>
      </w:r>
      <w:r w:rsidR="0022606A">
        <w:t xml:space="preserve"> has also been seen in the work with Eastleigh College</w:t>
      </w:r>
      <w:r w:rsidR="002A2A38">
        <w:t xml:space="preserve"> and the support provided to their Business students as well as the opportunities to provide work experience to local youngsters completing their Duke of Edinburgh awards.</w:t>
      </w:r>
    </w:p>
    <w:p w14:paraId="3C8B59FF" w14:textId="77777777" w:rsidR="007855F5" w:rsidRDefault="00D11C5F" w:rsidP="004D5CF3">
      <w:r>
        <w:t>Outside of the village, the</w:t>
      </w:r>
      <w:r w:rsidR="00000F0F">
        <w:t xml:space="preserve"> </w:t>
      </w:r>
      <w:r w:rsidR="00AD25FD">
        <w:t>Pantry</w:t>
      </w:r>
      <w:r w:rsidR="00000F0F">
        <w:t xml:space="preserve"> was </w:t>
      </w:r>
      <w:r>
        <w:t>recognised twice;</w:t>
      </w:r>
      <w:r w:rsidRPr="00A205E0">
        <w:t xml:space="preserve"> chosen</w:t>
      </w:r>
      <w:r w:rsidR="00000F0F" w:rsidRPr="00A205E0">
        <w:t xml:space="preserve"> as a finalist in the Rural Enterprise section of the 2016 Campaign to Protect Rural England (CPRE) Hampshire Countryside Awards</w:t>
      </w:r>
      <w:r w:rsidR="00000F0F">
        <w:t xml:space="preserve"> </w:t>
      </w:r>
      <w:r>
        <w:t xml:space="preserve">and winning the Best Independent Food Shop of the year from Hampshire Life. </w:t>
      </w:r>
      <w:r w:rsidR="00BF46AA">
        <w:t xml:space="preserve">We also conducted visits/meetings with other Community Shops and had the Plunkett Foundation provide an independent </w:t>
      </w:r>
      <w:r w:rsidR="00BF46AA" w:rsidRPr="00A205E0">
        <w:t xml:space="preserve">“health check” on the </w:t>
      </w:r>
      <w:r w:rsidR="00AD25FD">
        <w:t>Pantry</w:t>
      </w:r>
      <w:r w:rsidR="00BF46AA" w:rsidRPr="00A205E0">
        <w:t xml:space="preserve">’s operation </w:t>
      </w:r>
      <w:r w:rsidR="00BF46AA">
        <w:t>which was positive.</w:t>
      </w:r>
      <w:r w:rsidR="00212531">
        <w:t xml:space="preserve"> </w:t>
      </w:r>
    </w:p>
    <w:p w14:paraId="490852E5" w14:textId="77777777" w:rsidR="00477AF9" w:rsidRDefault="00477AF9" w:rsidP="004D5CF3">
      <w:r>
        <w:t xml:space="preserve">Our Volunteers remain integral to the success of the </w:t>
      </w:r>
      <w:r w:rsidR="00AD25FD">
        <w:t>Pantry</w:t>
      </w:r>
      <w:r>
        <w:t xml:space="preserve"> and we now have </w:t>
      </w:r>
      <w:r w:rsidR="00796CC8">
        <w:t>55</w:t>
      </w:r>
      <w:r>
        <w:t xml:space="preserve"> </w:t>
      </w:r>
      <w:r w:rsidR="00BF7E82" w:rsidRPr="00A205E0">
        <w:t>volunteers who continue to give their time and energy and the Committee would like to thank everyone for their contribution</w:t>
      </w:r>
      <w:r w:rsidR="00BC3798" w:rsidRPr="00A205E0">
        <w:t xml:space="preserve">, whether it be serving </w:t>
      </w:r>
      <w:r w:rsidR="0007213A" w:rsidRPr="00A205E0">
        <w:t>visitors</w:t>
      </w:r>
      <w:r w:rsidR="00BC3798" w:rsidRPr="00A205E0">
        <w:t xml:space="preserve"> or the myriad of other tasks that need to be done to keep the </w:t>
      </w:r>
      <w:r w:rsidR="00AD25FD">
        <w:t>Pantry</w:t>
      </w:r>
      <w:r w:rsidR="00BC3798" w:rsidRPr="00A205E0">
        <w:t xml:space="preserve"> operational. </w:t>
      </w:r>
    </w:p>
    <w:p w14:paraId="5F60EB10" w14:textId="77777777" w:rsidR="00F3269F" w:rsidRPr="00A205E0" w:rsidRDefault="00477AF9" w:rsidP="004D5CF3">
      <w:r>
        <w:t>A lot of work has been done behind the scenes to establish processes and procedures for improved food hygiene standards, financial control, stock management</w:t>
      </w:r>
      <w:r w:rsidR="00BF46AA">
        <w:t>, general administration</w:t>
      </w:r>
      <w:r>
        <w:t xml:space="preserve"> and both seeking out new local suppliers and maintaining positive relationships with existing suppliers. These are all essential </w:t>
      </w:r>
      <w:r w:rsidR="00BF46AA">
        <w:t>features o</w:t>
      </w:r>
      <w:r w:rsidR="00AD25FD">
        <w:t>f</w:t>
      </w:r>
      <w:r w:rsidR="00BF46AA">
        <w:t xml:space="preserve"> running an efficient small business and our appreciation goes to the “Unsung Heroes” who </w:t>
      </w:r>
      <w:r w:rsidR="002A2A38">
        <w:t>provide their</w:t>
      </w:r>
      <w:r>
        <w:t xml:space="preserve"> time and effort </w:t>
      </w:r>
      <w:r w:rsidR="002A2A38">
        <w:t>to undertake all these essential tasks.</w:t>
      </w:r>
    </w:p>
    <w:p w14:paraId="2426B6C8" w14:textId="77777777" w:rsidR="00DB53C4" w:rsidRDefault="00FD2ED3" w:rsidP="00DB53C4">
      <w:r w:rsidRPr="004D5CF3">
        <w:rPr>
          <w:b/>
          <w:sz w:val="24"/>
          <w:szCs w:val="24"/>
        </w:rPr>
        <w:t>Financial Performance</w:t>
      </w:r>
      <w:r w:rsidR="00DB53C4" w:rsidRPr="00DB53C4">
        <w:t xml:space="preserve"> </w:t>
      </w:r>
    </w:p>
    <w:p w14:paraId="7C3ED4B2" w14:textId="77777777" w:rsidR="00DB53C4" w:rsidRDefault="00DB53C4" w:rsidP="00DB53C4">
      <w:r>
        <w:t>A Summary of our Profit &amp; Loss Accounts (Fig.1) shows that while our Sales and Trading Profit have increased significantly over the 14 months our</w:t>
      </w:r>
      <w:r w:rsidRPr="00A205E0">
        <w:t xml:space="preserve"> net profit is </w:t>
      </w:r>
      <w:r>
        <w:t xml:space="preserve">only </w:t>
      </w:r>
      <w:r w:rsidRPr="00A205E0">
        <w:t>£</w:t>
      </w:r>
      <w:r>
        <w:t>404.</w:t>
      </w:r>
      <w:r w:rsidRPr="00A205E0">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122"/>
        <w:gridCol w:w="993"/>
        <w:gridCol w:w="764"/>
      </w:tblGrid>
      <w:tr w:rsidR="007652D1" w14:paraId="6D080B86" w14:textId="77777777" w:rsidTr="007652D1">
        <w:tc>
          <w:tcPr>
            <w:tcW w:w="2122" w:type="dxa"/>
            <w:shd w:val="clear" w:color="auto" w:fill="F2F2F2" w:themeFill="background1" w:themeFillShade="F2"/>
          </w:tcPr>
          <w:p w14:paraId="117299CB" w14:textId="77777777" w:rsidR="009A7FB2" w:rsidRPr="00A11D73" w:rsidRDefault="009A7FB2" w:rsidP="007652D1">
            <w:pPr>
              <w:jc w:val="center"/>
              <w:rPr>
                <w:sz w:val="18"/>
                <w:szCs w:val="18"/>
              </w:rPr>
            </w:pPr>
            <w:r w:rsidRPr="00A11D73">
              <w:rPr>
                <w:sz w:val="18"/>
                <w:szCs w:val="18"/>
              </w:rPr>
              <w:t>Fig 1.</w:t>
            </w:r>
            <w:r>
              <w:rPr>
                <w:sz w:val="18"/>
                <w:szCs w:val="18"/>
              </w:rPr>
              <w:t xml:space="preserve"> Summary of P&amp;L</w:t>
            </w:r>
          </w:p>
        </w:tc>
        <w:tc>
          <w:tcPr>
            <w:tcW w:w="993" w:type="dxa"/>
            <w:shd w:val="clear" w:color="auto" w:fill="F2F2F2" w:themeFill="background1" w:themeFillShade="F2"/>
          </w:tcPr>
          <w:p w14:paraId="7482AE3A" w14:textId="77777777" w:rsidR="009A7FB2" w:rsidRPr="00A11D73" w:rsidRDefault="009A7FB2" w:rsidP="007652D1">
            <w:pPr>
              <w:rPr>
                <w:sz w:val="18"/>
                <w:szCs w:val="18"/>
              </w:rPr>
            </w:pPr>
            <w:r>
              <w:rPr>
                <w:sz w:val="18"/>
                <w:szCs w:val="18"/>
              </w:rPr>
              <w:t>Feb 16 – Mar 17</w:t>
            </w:r>
          </w:p>
        </w:tc>
        <w:tc>
          <w:tcPr>
            <w:tcW w:w="764" w:type="dxa"/>
            <w:shd w:val="clear" w:color="auto" w:fill="F2F2F2" w:themeFill="background1" w:themeFillShade="F2"/>
          </w:tcPr>
          <w:p w14:paraId="5462CAB9" w14:textId="77777777" w:rsidR="009A7FB2" w:rsidRPr="00A11D73" w:rsidRDefault="009A7FB2" w:rsidP="007652D1">
            <w:pPr>
              <w:rPr>
                <w:sz w:val="18"/>
                <w:szCs w:val="18"/>
              </w:rPr>
            </w:pPr>
            <w:r>
              <w:rPr>
                <w:sz w:val="18"/>
                <w:szCs w:val="18"/>
              </w:rPr>
              <w:t xml:space="preserve">Feb </w:t>
            </w:r>
            <w:r w:rsidRPr="00A11D73">
              <w:rPr>
                <w:sz w:val="18"/>
                <w:szCs w:val="18"/>
              </w:rPr>
              <w:t>15</w:t>
            </w:r>
            <w:r>
              <w:rPr>
                <w:sz w:val="18"/>
                <w:szCs w:val="18"/>
              </w:rPr>
              <w:t xml:space="preserve"> – Jan 16</w:t>
            </w:r>
          </w:p>
        </w:tc>
      </w:tr>
      <w:tr w:rsidR="007652D1" w14:paraId="3FF467FA" w14:textId="77777777" w:rsidTr="007652D1">
        <w:tc>
          <w:tcPr>
            <w:tcW w:w="2122" w:type="dxa"/>
            <w:shd w:val="clear" w:color="auto" w:fill="F2F2F2" w:themeFill="background1" w:themeFillShade="F2"/>
          </w:tcPr>
          <w:p w14:paraId="68AEF83B" w14:textId="77777777" w:rsidR="009A7FB2" w:rsidRPr="00A11D73" w:rsidRDefault="009A7FB2" w:rsidP="007652D1">
            <w:pPr>
              <w:rPr>
                <w:sz w:val="18"/>
                <w:szCs w:val="18"/>
              </w:rPr>
            </w:pPr>
            <w:r>
              <w:rPr>
                <w:sz w:val="18"/>
                <w:szCs w:val="18"/>
              </w:rPr>
              <w:t>Sales</w:t>
            </w:r>
          </w:p>
        </w:tc>
        <w:tc>
          <w:tcPr>
            <w:tcW w:w="993" w:type="dxa"/>
            <w:shd w:val="clear" w:color="auto" w:fill="F2F2F2" w:themeFill="background1" w:themeFillShade="F2"/>
          </w:tcPr>
          <w:p w14:paraId="1B75E6A6" w14:textId="77777777" w:rsidR="009A7FB2" w:rsidRPr="00A11D73" w:rsidRDefault="009A7FB2" w:rsidP="007652D1">
            <w:pPr>
              <w:ind w:left="-20"/>
              <w:rPr>
                <w:sz w:val="18"/>
                <w:szCs w:val="18"/>
              </w:rPr>
            </w:pPr>
            <w:r w:rsidRPr="00A11D73">
              <w:rPr>
                <w:sz w:val="18"/>
                <w:szCs w:val="18"/>
              </w:rPr>
              <w:t>£</w:t>
            </w:r>
            <w:r>
              <w:rPr>
                <w:sz w:val="18"/>
                <w:szCs w:val="18"/>
              </w:rPr>
              <w:t>80047</w:t>
            </w:r>
          </w:p>
        </w:tc>
        <w:tc>
          <w:tcPr>
            <w:tcW w:w="764" w:type="dxa"/>
            <w:shd w:val="clear" w:color="auto" w:fill="F2F2F2" w:themeFill="background1" w:themeFillShade="F2"/>
          </w:tcPr>
          <w:p w14:paraId="151E2169" w14:textId="77777777" w:rsidR="009A7FB2" w:rsidRPr="00A11D73" w:rsidRDefault="009A7FB2" w:rsidP="007652D1">
            <w:pPr>
              <w:rPr>
                <w:sz w:val="18"/>
                <w:szCs w:val="18"/>
              </w:rPr>
            </w:pPr>
            <w:r w:rsidRPr="00A11D73">
              <w:rPr>
                <w:sz w:val="18"/>
                <w:szCs w:val="18"/>
              </w:rPr>
              <w:t>£</w:t>
            </w:r>
            <w:r>
              <w:rPr>
                <w:sz w:val="18"/>
                <w:szCs w:val="18"/>
              </w:rPr>
              <w:t>48631</w:t>
            </w:r>
          </w:p>
        </w:tc>
      </w:tr>
      <w:tr w:rsidR="007652D1" w14:paraId="5F00CCC7" w14:textId="77777777" w:rsidTr="007652D1">
        <w:tc>
          <w:tcPr>
            <w:tcW w:w="2122" w:type="dxa"/>
            <w:shd w:val="clear" w:color="auto" w:fill="F2F2F2" w:themeFill="background1" w:themeFillShade="F2"/>
          </w:tcPr>
          <w:p w14:paraId="1E45A974" w14:textId="77777777" w:rsidR="009A7FB2" w:rsidRPr="00A11D73" w:rsidRDefault="009A7FB2" w:rsidP="007652D1">
            <w:pPr>
              <w:rPr>
                <w:sz w:val="18"/>
                <w:szCs w:val="18"/>
              </w:rPr>
            </w:pPr>
            <w:r>
              <w:rPr>
                <w:sz w:val="18"/>
                <w:szCs w:val="18"/>
              </w:rPr>
              <w:t>Direct Expenses</w:t>
            </w:r>
          </w:p>
        </w:tc>
        <w:tc>
          <w:tcPr>
            <w:tcW w:w="993" w:type="dxa"/>
            <w:shd w:val="clear" w:color="auto" w:fill="F2F2F2" w:themeFill="background1" w:themeFillShade="F2"/>
          </w:tcPr>
          <w:p w14:paraId="7182937D" w14:textId="77777777" w:rsidR="009A7FB2" w:rsidRPr="00A11D73" w:rsidRDefault="009A7FB2" w:rsidP="007652D1">
            <w:pPr>
              <w:rPr>
                <w:sz w:val="18"/>
                <w:szCs w:val="18"/>
              </w:rPr>
            </w:pPr>
            <w:r>
              <w:rPr>
                <w:sz w:val="18"/>
                <w:szCs w:val="18"/>
              </w:rPr>
              <w:t>£55420</w:t>
            </w:r>
          </w:p>
        </w:tc>
        <w:tc>
          <w:tcPr>
            <w:tcW w:w="764" w:type="dxa"/>
            <w:shd w:val="clear" w:color="auto" w:fill="F2F2F2" w:themeFill="background1" w:themeFillShade="F2"/>
          </w:tcPr>
          <w:p w14:paraId="39612623" w14:textId="77777777" w:rsidR="009A7FB2" w:rsidRPr="00A11D73" w:rsidRDefault="009A7FB2" w:rsidP="007652D1">
            <w:pPr>
              <w:rPr>
                <w:sz w:val="18"/>
                <w:szCs w:val="18"/>
              </w:rPr>
            </w:pPr>
            <w:r w:rsidRPr="00A11D73">
              <w:rPr>
                <w:sz w:val="18"/>
                <w:szCs w:val="18"/>
              </w:rPr>
              <w:t>£</w:t>
            </w:r>
            <w:r>
              <w:rPr>
                <w:sz w:val="18"/>
                <w:szCs w:val="18"/>
              </w:rPr>
              <w:t>35128</w:t>
            </w:r>
          </w:p>
        </w:tc>
      </w:tr>
      <w:tr w:rsidR="007652D1" w14:paraId="0D7243B2" w14:textId="77777777" w:rsidTr="007652D1">
        <w:tc>
          <w:tcPr>
            <w:tcW w:w="2122" w:type="dxa"/>
            <w:shd w:val="clear" w:color="auto" w:fill="F2F2F2" w:themeFill="background1" w:themeFillShade="F2"/>
          </w:tcPr>
          <w:p w14:paraId="3CBCD3BF" w14:textId="77777777" w:rsidR="009A7FB2" w:rsidRPr="00A11D73" w:rsidRDefault="009A7FB2" w:rsidP="007652D1">
            <w:pPr>
              <w:rPr>
                <w:sz w:val="18"/>
                <w:szCs w:val="18"/>
              </w:rPr>
            </w:pPr>
            <w:r>
              <w:rPr>
                <w:sz w:val="18"/>
                <w:szCs w:val="18"/>
              </w:rPr>
              <w:t>Gross Profit</w:t>
            </w:r>
          </w:p>
        </w:tc>
        <w:tc>
          <w:tcPr>
            <w:tcW w:w="993" w:type="dxa"/>
            <w:shd w:val="clear" w:color="auto" w:fill="F2F2F2" w:themeFill="background1" w:themeFillShade="F2"/>
          </w:tcPr>
          <w:p w14:paraId="33141DFB" w14:textId="77777777" w:rsidR="009A7FB2" w:rsidRPr="00A11D73" w:rsidRDefault="009A7FB2" w:rsidP="007652D1">
            <w:pPr>
              <w:rPr>
                <w:sz w:val="18"/>
                <w:szCs w:val="18"/>
              </w:rPr>
            </w:pPr>
            <w:r w:rsidRPr="00A11D73">
              <w:rPr>
                <w:sz w:val="18"/>
                <w:szCs w:val="18"/>
              </w:rPr>
              <w:t>£</w:t>
            </w:r>
            <w:r>
              <w:rPr>
                <w:sz w:val="18"/>
                <w:szCs w:val="18"/>
              </w:rPr>
              <w:t>24627</w:t>
            </w:r>
          </w:p>
        </w:tc>
        <w:tc>
          <w:tcPr>
            <w:tcW w:w="764" w:type="dxa"/>
            <w:shd w:val="clear" w:color="auto" w:fill="F2F2F2" w:themeFill="background1" w:themeFillShade="F2"/>
          </w:tcPr>
          <w:p w14:paraId="25CEE6A0" w14:textId="77777777" w:rsidR="009A7FB2" w:rsidRPr="00A11D73" w:rsidRDefault="009A7FB2" w:rsidP="007652D1">
            <w:pPr>
              <w:rPr>
                <w:sz w:val="18"/>
                <w:szCs w:val="18"/>
              </w:rPr>
            </w:pPr>
            <w:r w:rsidRPr="00A11D73">
              <w:rPr>
                <w:sz w:val="18"/>
                <w:szCs w:val="18"/>
              </w:rPr>
              <w:t>£</w:t>
            </w:r>
            <w:r>
              <w:rPr>
                <w:sz w:val="18"/>
                <w:szCs w:val="18"/>
              </w:rPr>
              <w:t>13503</w:t>
            </w:r>
          </w:p>
        </w:tc>
      </w:tr>
      <w:tr w:rsidR="007652D1" w14:paraId="0CAFA926" w14:textId="77777777" w:rsidTr="007652D1">
        <w:tc>
          <w:tcPr>
            <w:tcW w:w="2122" w:type="dxa"/>
            <w:shd w:val="clear" w:color="auto" w:fill="F2F2F2" w:themeFill="background1" w:themeFillShade="F2"/>
          </w:tcPr>
          <w:p w14:paraId="739BC6A6" w14:textId="77777777" w:rsidR="009A7FB2" w:rsidRPr="00A11D73" w:rsidRDefault="009A7FB2" w:rsidP="007652D1">
            <w:pPr>
              <w:rPr>
                <w:sz w:val="18"/>
                <w:szCs w:val="18"/>
              </w:rPr>
            </w:pPr>
            <w:r>
              <w:rPr>
                <w:sz w:val="18"/>
                <w:szCs w:val="18"/>
              </w:rPr>
              <w:t>Overheads</w:t>
            </w:r>
          </w:p>
        </w:tc>
        <w:tc>
          <w:tcPr>
            <w:tcW w:w="993" w:type="dxa"/>
            <w:shd w:val="clear" w:color="auto" w:fill="F2F2F2" w:themeFill="background1" w:themeFillShade="F2"/>
          </w:tcPr>
          <w:p w14:paraId="3A20B6FB" w14:textId="77777777" w:rsidR="009A7FB2" w:rsidRPr="00A11D73" w:rsidRDefault="009A7FB2" w:rsidP="007652D1">
            <w:pPr>
              <w:rPr>
                <w:sz w:val="18"/>
                <w:szCs w:val="18"/>
              </w:rPr>
            </w:pPr>
            <w:r w:rsidRPr="00A11D73">
              <w:rPr>
                <w:sz w:val="18"/>
                <w:szCs w:val="18"/>
              </w:rPr>
              <w:t>£</w:t>
            </w:r>
            <w:r>
              <w:rPr>
                <w:sz w:val="18"/>
                <w:szCs w:val="18"/>
              </w:rPr>
              <w:t>20564</w:t>
            </w:r>
          </w:p>
        </w:tc>
        <w:tc>
          <w:tcPr>
            <w:tcW w:w="764" w:type="dxa"/>
            <w:shd w:val="clear" w:color="auto" w:fill="F2F2F2" w:themeFill="background1" w:themeFillShade="F2"/>
          </w:tcPr>
          <w:p w14:paraId="14188B96" w14:textId="77777777" w:rsidR="009A7FB2" w:rsidRPr="00DB7AB9" w:rsidRDefault="009A7FB2" w:rsidP="007652D1">
            <w:pPr>
              <w:rPr>
                <w:color w:val="000000" w:themeColor="text1"/>
                <w:sz w:val="18"/>
                <w:szCs w:val="18"/>
              </w:rPr>
            </w:pPr>
            <w:r>
              <w:rPr>
                <w:color w:val="000000" w:themeColor="text1"/>
                <w:sz w:val="18"/>
                <w:szCs w:val="18"/>
              </w:rPr>
              <w:t>£11039</w:t>
            </w:r>
          </w:p>
        </w:tc>
      </w:tr>
      <w:tr w:rsidR="007652D1" w14:paraId="334D656C" w14:textId="77777777" w:rsidTr="007652D1">
        <w:tc>
          <w:tcPr>
            <w:tcW w:w="2122" w:type="dxa"/>
            <w:shd w:val="clear" w:color="auto" w:fill="F2F2F2" w:themeFill="background1" w:themeFillShade="F2"/>
          </w:tcPr>
          <w:p w14:paraId="49F8DE5C" w14:textId="77777777" w:rsidR="009A7FB2" w:rsidRDefault="009A7FB2" w:rsidP="007652D1">
            <w:pPr>
              <w:rPr>
                <w:sz w:val="18"/>
                <w:szCs w:val="18"/>
              </w:rPr>
            </w:pPr>
            <w:r>
              <w:rPr>
                <w:sz w:val="18"/>
                <w:szCs w:val="18"/>
              </w:rPr>
              <w:t>Trading Profit</w:t>
            </w:r>
          </w:p>
        </w:tc>
        <w:tc>
          <w:tcPr>
            <w:tcW w:w="993" w:type="dxa"/>
            <w:shd w:val="clear" w:color="auto" w:fill="F2F2F2" w:themeFill="background1" w:themeFillShade="F2"/>
          </w:tcPr>
          <w:p w14:paraId="6B775B2B" w14:textId="77777777" w:rsidR="009A7FB2" w:rsidRPr="00A11D73" w:rsidRDefault="009A7FB2" w:rsidP="007652D1">
            <w:pPr>
              <w:rPr>
                <w:sz w:val="18"/>
                <w:szCs w:val="18"/>
              </w:rPr>
            </w:pPr>
            <w:r>
              <w:rPr>
                <w:sz w:val="18"/>
                <w:szCs w:val="18"/>
              </w:rPr>
              <w:t>£4063</w:t>
            </w:r>
          </w:p>
        </w:tc>
        <w:tc>
          <w:tcPr>
            <w:tcW w:w="764" w:type="dxa"/>
            <w:shd w:val="clear" w:color="auto" w:fill="F2F2F2" w:themeFill="background1" w:themeFillShade="F2"/>
          </w:tcPr>
          <w:p w14:paraId="5CF1621A" w14:textId="77777777" w:rsidR="009A7FB2" w:rsidRPr="00DB7AB9" w:rsidRDefault="009A7FB2" w:rsidP="007652D1">
            <w:pPr>
              <w:rPr>
                <w:color w:val="000000" w:themeColor="text1"/>
                <w:sz w:val="18"/>
                <w:szCs w:val="18"/>
              </w:rPr>
            </w:pPr>
            <w:r>
              <w:rPr>
                <w:color w:val="000000" w:themeColor="text1"/>
                <w:sz w:val="18"/>
                <w:szCs w:val="18"/>
              </w:rPr>
              <w:t>£2466</w:t>
            </w:r>
          </w:p>
        </w:tc>
      </w:tr>
      <w:tr w:rsidR="007652D1" w14:paraId="78CEDC12" w14:textId="77777777" w:rsidTr="007652D1">
        <w:tc>
          <w:tcPr>
            <w:tcW w:w="2122" w:type="dxa"/>
            <w:shd w:val="clear" w:color="auto" w:fill="F2F2F2" w:themeFill="background1" w:themeFillShade="F2"/>
          </w:tcPr>
          <w:p w14:paraId="3B38C23E" w14:textId="77777777" w:rsidR="009A7FB2" w:rsidRDefault="009A7FB2" w:rsidP="007652D1">
            <w:pPr>
              <w:rPr>
                <w:sz w:val="18"/>
                <w:szCs w:val="18"/>
              </w:rPr>
            </w:pPr>
            <w:r>
              <w:rPr>
                <w:sz w:val="18"/>
                <w:szCs w:val="18"/>
              </w:rPr>
              <w:t>Depreciation</w:t>
            </w:r>
          </w:p>
        </w:tc>
        <w:tc>
          <w:tcPr>
            <w:tcW w:w="993" w:type="dxa"/>
            <w:shd w:val="clear" w:color="auto" w:fill="F2F2F2" w:themeFill="background1" w:themeFillShade="F2"/>
          </w:tcPr>
          <w:p w14:paraId="0B808E7B" w14:textId="77777777" w:rsidR="009A7FB2" w:rsidRPr="00A11D73" w:rsidRDefault="009A7FB2" w:rsidP="007652D1">
            <w:pPr>
              <w:rPr>
                <w:sz w:val="18"/>
                <w:szCs w:val="18"/>
              </w:rPr>
            </w:pPr>
            <w:r>
              <w:rPr>
                <w:sz w:val="18"/>
                <w:szCs w:val="18"/>
              </w:rPr>
              <w:t>£3659</w:t>
            </w:r>
          </w:p>
        </w:tc>
        <w:tc>
          <w:tcPr>
            <w:tcW w:w="764" w:type="dxa"/>
            <w:shd w:val="clear" w:color="auto" w:fill="F2F2F2" w:themeFill="background1" w:themeFillShade="F2"/>
          </w:tcPr>
          <w:p w14:paraId="5DE6C2DF" w14:textId="77777777" w:rsidR="009A7FB2" w:rsidRPr="00DB7AB9" w:rsidRDefault="009A7FB2" w:rsidP="007652D1">
            <w:pPr>
              <w:pStyle w:val="ListParagraph"/>
              <w:numPr>
                <w:ilvl w:val="0"/>
                <w:numId w:val="6"/>
              </w:numPr>
              <w:jc w:val="center"/>
              <w:rPr>
                <w:color w:val="000000" w:themeColor="text1"/>
                <w:sz w:val="18"/>
                <w:szCs w:val="18"/>
              </w:rPr>
            </w:pPr>
          </w:p>
        </w:tc>
      </w:tr>
      <w:tr w:rsidR="007652D1" w14:paraId="412FEEBC" w14:textId="77777777" w:rsidTr="007652D1">
        <w:tc>
          <w:tcPr>
            <w:tcW w:w="2122" w:type="dxa"/>
            <w:shd w:val="clear" w:color="auto" w:fill="F2F2F2" w:themeFill="background1" w:themeFillShade="F2"/>
          </w:tcPr>
          <w:p w14:paraId="32DD906E" w14:textId="77777777" w:rsidR="009A7FB2" w:rsidRDefault="009A7FB2" w:rsidP="007652D1">
            <w:pPr>
              <w:rPr>
                <w:sz w:val="18"/>
                <w:szCs w:val="18"/>
              </w:rPr>
            </w:pPr>
            <w:r>
              <w:rPr>
                <w:sz w:val="18"/>
                <w:szCs w:val="18"/>
              </w:rPr>
              <w:t>Net Profit</w:t>
            </w:r>
          </w:p>
        </w:tc>
        <w:tc>
          <w:tcPr>
            <w:tcW w:w="993" w:type="dxa"/>
            <w:shd w:val="clear" w:color="auto" w:fill="F2F2F2" w:themeFill="background1" w:themeFillShade="F2"/>
          </w:tcPr>
          <w:p w14:paraId="78FAA965" w14:textId="77777777" w:rsidR="009A7FB2" w:rsidRPr="00A11D73" w:rsidRDefault="009A7FB2" w:rsidP="007652D1">
            <w:pPr>
              <w:rPr>
                <w:sz w:val="18"/>
                <w:szCs w:val="18"/>
              </w:rPr>
            </w:pPr>
            <w:r>
              <w:rPr>
                <w:sz w:val="18"/>
                <w:szCs w:val="18"/>
              </w:rPr>
              <w:t>£404</w:t>
            </w:r>
          </w:p>
        </w:tc>
        <w:tc>
          <w:tcPr>
            <w:tcW w:w="764" w:type="dxa"/>
            <w:shd w:val="clear" w:color="auto" w:fill="F2F2F2" w:themeFill="background1" w:themeFillShade="F2"/>
          </w:tcPr>
          <w:p w14:paraId="434174F0" w14:textId="77777777" w:rsidR="009A7FB2" w:rsidRPr="00DB7AB9" w:rsidRDefault="009A7FB2" w:rsidP="007652D1">
            <w:pPr>
              <w:rPr>
                <w:color w:val="000000" w:themeColor="text1"/>
                <w:sz w:val="18"/>
                <w:szCs w:val="18"/>
              </w:rPr>
            </w:pPr>
            <w:r w:rsidRPr="00DB7AB9">
              <w:rPr>
                <w:color w:val="000000" w:themeColor="text1"/>
                <w:sz w:val="18"/>
                <w:szCs w:val="18"/>
              </w:rPr>
              <w:t>£24</w:t>
            </w:r>
            <w:r>
              <w:rPr>
                <w:color w:val="000000" w:themeColor="text1"/>
                <w:sz w:val="18"/>
                <w:szCs w:val="18"/>
              </w:rPr>
              <w:t>66</w:t>
            </w:r>
          </w:p>
        </w:tc>
      </w:tr>
    </w:tbl>
    <w:p w14:paraId="66E66A13" w14:textId="77777777" w:rsidR="007652D1" w:rsidRDefault="007652D1" w:rsidP="00FD2ED3"/>
    <w:p w14:paraId="30805B8E" w14:textId="77777777" w:rsidR="00F70B0C" w:rsidRDefault="007652D1" w:rsidP="00FD2ED3">
      <w:r>
        <w:t>H</w:t>
      </w:r>
      <w:r w:rsidR="00F70B0C">
        <w:t>owever, the Net P</w:t>
      </w:r>
      <w:r w:rsidR="00DB7AB9">
        <w:t>rofit figure does</w:t>
      </w:r>
      <w:r w:rsidR="00796CC8">
        <w:t xml:space="preserve"> not tell the full story as the </w:t>
      </w:r>
      <w:r w:rsidR="00AD25FD">
        <w:t>Pantry</w:t>
      </w:r>
      <w:r w:rsidR="00796CC8">
        <w:t xml:space="preserve"> now, quite rightly, absorbs the full cost of electricity</w:t>
      </w:r>
      <w:r w:rsidR="00F70B0C">
        <w:t>. D</w:t>
      </w:r>
      <w:r w:rsidR="004D4BEE">
        <w:t xml:space="preserve">epreciation </w:t>
      </w:r>
      <w:r w:rsidR="00F70B0C">
        <w:t xml:space="preserve">was not factored into last year’s accounts and the full impact of </w:t>
      </w:r>
      <w:r w:rsidR="00796CC8">
        <w:t xml:space="preserve">depreciation since the start of the </w:t>
      </w:r>
      <w:r w:rsidR="00AD25FD">
        <w:t>Pantry</w:t>
      </w:r>
      <w:r w:rsidR="00796CC8">
        <w:t xml:space="preserve"> in 2014</w:t>
      </w:r>
      <w:r w:rsidR="00F70B0C">
        <w:t xml:space="preserve"> has had to be reflected in the 2016-2017 figures. </w:t>
      </w:r>
    </w:p>
    <w:p w14:paraId="47452BB4" w14:textId="77777777" w:rsidR="007652D1" w:rsidRDefault="007652D1" w:rsidP="00F70B0C"/>
    <w:p w14:paraId="43AA7F6B" w14:textId="77777777" w:rsidR="00F70B0C" w:rsidRDefault="007652D1" w:rsidP="00F70B0C">
      <w:r w:rsidRPr="00DB53C4">
        <w:rPr>
          <w:noProof/>
        </w:rPr>
        <w:drawing>
          <wp:anchor distT="0" distB="0" distL="114300" distR="114300" simplePos="0" relativeHeight="251671552" behindDoc="1" locked="0" layoutInCell="1" allowOverlap="1" wp14:anchorId="13BC6B41" wp14:editId="3E6B4C6B">
            <wp:simplePos x="0" y="0"/>
            <wp:positionH relativeFrom="margin">
              <wp:posOffset>924560</wp:posOffset>
            </wp:positionH>
            <wp:positionV relativeFrom="paragraph">
              <wp:posOffset>5715</wp:posOffset>
            </wp:positionV>
            <wp:extent cx="5803900" cy="876300"/>
            <wp:effectExtent l="0" t="0" r="0" b="0"/>
            <wp:wrapTight wrapText="bothSides">
              <wp:wrapPolygon edited="0">
                <wp:start x="11060" y="0"/>
                <wp:lineTo x="11060" y="21130"/>
                <wp:lineTo x="21198" y="21130"/>
                <wp:lineTo x="21198" y="0"/>
                <wp:lineTo x="1106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0" cy="876300"/>
                    </a:xfrm>
                    <a:prstGeom prst="rect">
                      <a:avLst/>
                    </a:prstGeom>
                    <a:noFill/>
                    <a:ln>
                      <a:noFill/>
                    </a:ln>
                  </pic:spPr>
                </pic:pic>
              </a:graphicData>
            </a:graphic>
            <wp14:sizeRelH relativeFrom="margin">
              <wp14:pctWidth>0</wp14:pctWidth>
            </wp14:sizeRelH>
          </wp:anchor>
        </w:drawing>
      </w:r>
      <w:r w:rsidR="00F70B0C">
        <w:t>Taking this into account, a more accurate comparison of the fi</w:t>
      </w:r>
      <w:r w:rsidR="00863D1B">
        <w:t>nancial performance is in Fig 2 and show</w:t>
      </w:r>
      <w:r w:rsidR="00AD25FD">
        <w:t>s</w:t>
      </w:r>
      <w:r w:rsidR="00863D1B">
        <w:t xml:space="preserve"> an adjusted los</w:t>
      </w:r>
      <w:r w:rsidR="007855F5">
        <w:t>s</w:t>
      </w:r>
      <w:r w:rsidR="00863D1B">
        <w:t xml:space="preserve"> of £5</w:t>
      </w:r>
      <w:r w:rsidR="009A7FB2">
        <w:t>68</w:t>
      </w:r>
      <w:r w:rsidR="00863D1B">
        <w:t xml:space="preserve"> compared to an adjusted profit of £17</w:t>
      </w:r>
      <w:r w:rsidR="009A7FB2">
        <w:t>33</w:t>
      </w:r>
      <w:r w:rsidR="00824A32">
        <w:t>.</w:t>
      </w:r>
    </w:p>
    <w:p w14:paraId="7EE6FC57" w14:textId="77777777" w:rsidR="006477C4" w:rsidRDefault="006477C4" w:rsidP="00FD2ED3"/>
    <w:p w14:paraId="7E6B98F4" w14:textId="77777777" w:rsidR="00AC5626" w:rsidRDefault="007855F5" w:rsidP="00FD2ED3">
      <w:r>
        <w:rPr>
          <w:noProof/>
          <w:lang w:eastAsia="en-GB"/>
        </w:rPr>
        <w:lastRenderedPageBreak/>
        <w:drawing>
          <wp:anchor distT="0" distB="0" distL="114300" distR="114300" simplePos="0" relativeHeight="251670528" behindDoc="1" locked="0" layoutInCell="1" allowOverlap="1" wp14:anchorId="355F7A5E" wp14:editId="2AE6254B">
            <wp:simplePos x="0" y="0"/>
            <wp:positionH relativeFrom="margin">
              <wp:align>right</wp:align>
            </wp:positionH>
            <wp:positionV relativeFrom="paragraph">
              <wp:posOffset>521970</wp:posOffset>
            </wp:positionV>
            <wp:extent cx="6908800" cy="1885950"/>
            <wp:effectExtent l="0" t="0" r="6350" b="0"/>
            <wp:wrapTight wrapText="bothSides">
              <wp:wrapPolygon edited="0">
                <wp:start x="0" y="0"/>
                <wp:lineTo x="0" y="21382"/>
                <wp:lineTo x="21560" y="21382"/>
                <wp:lineTo x="215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8800" cy="1885950"/>
                    </a:xfrm>
                    <a:prstGeom prst="rect">
                      <a:avLst/>
                    </a:prstGeom>
                    <a:noFill/>
                  </pic:spPr>
                </pic:pic>
              </a:graphicData>
            </a:graphic>
            <wp14:sizeRelH relativeFrom="margin">
              <wp14:pctWidth>0</wp14:pctWidth>
            </wp14:sizeRelH>
            <wp14:sizeRelV relativeFrom="margin">
              <wp14:pctHeight>0</wp14:pctHeight>
            </wp14:sizeRelV>
          </wp:anchor>
        </w:drawing>
      </w:r>
      <w:r w:rsidR="00F70B0C">
        <w:t>I</w:t>
      </w:r>
      <w:r w:rsidR="00796CC8">
        <w:t>mportantly</w:t>
      </w:r>
      <w:r w:rsidR="00AD25FD">
        <w:t>,</w:t>
      </w:r>
      <w:r w:rsidR="00796CC8">
        <w:t xml:space="preserve"> weekly takings grew steadily in </w:t>
      </w:r>
      <w:r>
        <w:t>the period</w:t>
      </w:r>
      <w:r w:rsidR="00796CC8">
        <w:t xml:space="preserve">. They have plateaued at around £1300 for a “normal” week and we have based the </w:t>
      </w:r>
      <w:r>
        <w:t xml:space="preserve">April </w:t>
      </w:r>
      <w:r w:rsidR="00796CC8">
        <w:t xml:space="preserve">2017 </w:t>
      </w:r>
      <w:r>
        <w:t xml:space="preserve">-18 </w:t>
      </w:r>
      <w:r w:rsidR="00796CC8">
        <w:t>budget on this number.</w:t>
      </w:r>
    </w:p>
    <w:p w14:paraId="00D7B285" w14:textId="77777777" w:rsidR="007855F5" w:rsidRDefault="007855F5" w:rsidP="00FD2ED3">
      <w:pPr>
        <w:rPr>
          <w:b/>
          <w:sz w:val="24"/>
          <w:szCs w:val="24"/>
        </w:rPr>
      </w:pPr>
    </w:p>
    <w:p w14:paraId="6DE83EC1" w14:textId="77777777" w:rsidR="00FD2ED3" w:rsidRPr="004D5CF3" w:rsidRDefault="00FD2ED3" w:rsidP="00FD2ED3">
      <w:pPr>
        <w:rPr>
          <w:b/>
          <w:sz w:val="24"/>
          <w:szCs w:val="24"/>
        </w:rPr>
      </w:pPr>
      <w:r w:rsidRPr="004D5CF3">
        <w:rPr>
          <w:b/>
          <w:sz w:val="24"/>
          <w:szCs w:val="24"/>
        </w:rPr>
        <w:t>Volunteers</w:t>
      </w:r>
    </w:p>
    <w:p w14:paraId="01BC52ED" w14:textId="77777777" w:rsidR="006477C4" w:rsidRDefault="00E65B53" w:rsidP="00FD2ED3">
      <w:r>
        <w:t xml:space="preserve">In </w:t>
      </w:r>
      <w:r w:rsidR="007855F5">
        <w:t>the period</w:t>
      </w:r>
      <w:r>
        <w:t xml:space="preserve"> 5</w:t>
      </w:r>
      <w:r w:rsidR="007855F5">
        <w:t>5</w:t>
      </w:r>
      <w:r w:rsidR="00EA1FA3">
        <w:t xml:space="preserve"> </w:t>
      </w:r>
      <w:r w:rsidR="00C72ECE">
        <w:t xml:space="preserve">different people have </w:t>
      </w:r>
      <w:r w:rsidR="00EA1FA3">
        <w:t>volunteer</w:t>
      </w:r>
      <w:r w:rsidR="00C72ECE">
        <w:t>ed to</w:t>
      </w:r>
      <w:r w:rsidR="00EA1FA3">
        <w:t xml:space="preserve"> </w:t>
      </w:r>
      <w:r>
        <w:t xml:space="preserve">support the </w:t>
      </w:r>
      <w:r w:rsidR="00AD25FD">
        <w:t>Pantry</w:t>
      </w:r>
      <w:r>
        <w:t xml:space="preserve"> in some way</w:t>
      </w:r>
      <w:r w:rsidR="00C72ECE">
        <w:t xml:space="preserve"> with an average of 30 volunteers each month</w:t>
      </w:r>
      <w:r>
        <w:t>.</w:t>
      </w:r>
      <w:r w:rsidR="006477C4">
        <w:t xml:space="preserve"> </w:t>
      </w:r>
      <w:r>
        <w:t>The actual number of volunteers has grown each quarter with t</w:t>
      </w:r>
      <w:r w:rsidR="006477C4">
        <w:t>he vast majority of these volunteers giv</w:t>
      </w:r>
      <w:r>
        <w:t>ing</w:t>
      </w:r>
      <w:r w:rsidR="006477C4">
        <w:t xml:space="preserve"> their time to serving behind the counter</w:t>
      </w:r>
      <w:r>
        <w:t>. W</w:t>
      </w:r>
      <w:r w:rsidR="006477C4">
        <w:t>e do have many activities that help in other ways and are always looking out for more support.</w:t>
      </w:r>
    </w:p>
    <w:p w14:paraId="30C600D3" w14:textId="77777777" w:rsidR="00FD0DD3" w:rsidRPr="00A205E0" w:rsidRDefault="006477C4" w:rsidP="00FD2ED3">
      <w:r>
        <w:t>Two training sessions were run in the year on</w:t>
      </w:r>
      <w:r w:rsidR="00C72ECE">
        <w:t>e on</w:t>
      </w:r>
      <w:r>
        <w:t xml:space="preserve"> Food H</w:t>
      </w:r>
      <w:r w:rsidR="00C72ECE">
        <w:t xml:space="preserve">andling &amp; Cleaning and the other on </w:t>
      </w:r>
      <w:r>
        <w:t xml:space="preserve">Alcohol </w:t>
      </w:r>
      <w:r w:rsidR="00C72ECE">
        <w:t xml:space="preserve">and Allergen </w:t>
      </w:r>
      <w:r>
        <w:t xml:space="preserve">Awareness </w:t>
      </w:r>
      <w:r w:rsidR="00C72ECE">
        <w:t>with</w:t>
      </w:r>
      <w:r>
        <w:t xml:space="preserve"> two </w:t>
      </w:r>
      <w:r w:rsidR="00C72ECE">
        <w:t xml:space="preserve">other </w:t>
      </w:r>
      <w:r>
        <w:t>events run to update and thank volunteers.</w:t>
      </w:r>
    </w:p>
    <w:p w14:paraId="371A775F" w14:textId="77777777" w:rsidR="008F6AE2" w:rsidRPr="004D5CF3" w:rsidRDefault="008F6AE2" w:rsidP="008F6AE2">
      <w:pPr>
        <w:rPr>
          <w:b/>
          <w:sz w:val="24"/>
          <w:szCs w:val="24"/>
        </w:rPr>
      </w:pPr>
      <w:r w:rsidRPr="004D5CF3">
        <w:rPr>
          <w:b/>
          <w:sz w:val="24"/>
          <w:szCs w:val="24"/>
        </w:rPr>
        <w:t>Governance</w:t>
      </w:r>
    </w:p>
    <w:p w14:paraId="0D624464" w14:textId="77777777" w:rsidR="007D68C8" w:rsidRDefault="006477C4" w:rsidP="00FD2ED3">
      <w:r>
        <w:t xml:space="preserve">The Committee has met regularly throughout 2016 to oversee the running of the </w:t>
      </w:r>
      <w:r w:rsidR="00AD25FD">
        <w:t>Pantry</w:t>
      </w:r>
      <w:r>
        <w:t>. A key focus on the later part of the year has been the need to move to become an Independent Trading Company</w:t>
      </w:r>
      <w:r w:rsidR="007855F5">
        <w:t xml:space="preserve">. </w:t>
      </w:r>
      <w:r w:rsidR="007855F5" w:rsidRPr="007652D1">
        <w:rPr>
          <w:color w:val="000000" w:themeColor="text1"/>
        </w:rPr>
        <w:t xml:space="preserve">This </w:t>
      </w:r>
      <w:r w:rsidR="00C72ECE" w:rsidRPr="007652D1">
        <w:rPr>
          <w:color w:val="000000" w:themeColor="text1"/>
        </w:rPr>
        <w:t>is</w:t>
      </w:r>
      <w:r w:rsidR="007855F5" w:rsidRPr="007652D1">
        <w:rPr>
          <w:color w:val="000000" w:themeColor="text1"/>
        </w:rPr>
        <w:t xml:space="preserve"> now near to completion </w:t>
      </w:r>
      <w:r w:rsidR="007855F5">
        <w:t xml:space="preserve">and from June the </w:t>
      </w:r>
      <w:r w:rsidR="00AD25FD">
        <w:t>Pantry</w:t>
      </w:r>
      <w:r w:rsidR="007855F5">
        <w:t xml:space="preserve"> will be owned by the Village Hall but managed by </w:t>
      </w:r>
      <w:r w:rsidR="007652D1">
        <w:t>4</w:t>
      </w:r>
      <w:r w:rsidR="007855F5">
        <w:t xml:space="preserve"> Directors of the Trading Company.</w:t>
      </w:r>
      <w:r>
        <w:t xml:space="preserve"> </w:t>
      </w:r>
    </w:p>
    <w:p w14:paraId="0DE671BE" w14:textId="77777777" w:rsidR="007855F5" w:rsidRDefault="007855F5" w:rsidP="00FD2ED3">
      <w:r>
        <w:t xml:space="preserve">We completed a review of our Operating Manual and </w:t>
      </w:r>
      <w:r w:rsidRPr="007855F5">
        <w:t xml:space="preserve">asked two members of the Community to provide an Independent review of our procedures to ensure we were actually doing what we say we should be doing. Both felt the </w:t>
      </w:r>
      <w:r w:rsidR="00AD25FD">
        <w:t>Pantry</w:t>
      </w:r>
      <w:r w:rsidRPr="007855F5">
        <w:t xml:space="preserve"> was being well run</w:t>
      </w:r>
      <w:r>
        <w:t>,</w:t>
      </w:r>
      <w:r w:rsidRPr="007855F5">
        <w:t xml:space="preserve"> but did provide some very useful feedback on where we could improve things.</w:t>
      </w:r>
    </w:p>
    <w:p w14:paraId="5CA64F74" w14:textId="77777777" w:rsidR="007855F5" w:rsidRDefault="007855F5" w:rsidP="00FD2ED3">
      <w:pPr>
        <w:rPr>
          <w:b/>
          <w:sz w:val="24"/>
          <w:szCs w:val="24"/>
        </w:rPr>
      </w:pPr>
    </w:p>
    <w:p w14:paraId="7342EF47" w14:textId="77777777" w:rsidR="00FD2ED3" w:rsidRPr="004D5CF3" w:rsidRDefault="006477C4" w:rsidP="00FD2ED3">
      <w:pPr>
        <w:rPr>
          <w:b/>
          <w:sz w:val="24"/>
          <w:szCs w:val="24"/>
        </w:rPr>
      </w:pPr>
      <w:r>
        <w:rPr>
          <w:b/>
          <w:sz w:val="24"/>
          <w:szCs w:val="24"/>
        </w:rPr>
        <w:t>Services</w:t>
      </w:r>
    </w:p>
    <w:tbl>
      <w:tblPr>
        <w:tblpPr w:leftFromText="181" w:rightFromText="181" w:vertAnchor="text" w:horzAnchor="margin" w:tblpXSpec="right" w:tblpY="657"/>
        <w:tblOverlap w:val="never"/>
        <w:tblW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15"/>
      </w:tblGrid>
      <w:tr w:rsidR="00AC5626" w:rsidRPr="00F20A47" w14:paraId="2B47FF0E" w14:textId="77777777" w:rsidTr="004C4A84">
        <w:trPr>
          <w:trHeight w:hRule="exact" w:val="438"/>
        </w:trPr>
        <w:tc>
          <w:tcPr>
            <w:tcW w:w="1555" w:type="dxa"/>
            <w:shd w:val="clear" w:color="auto" w:fill="auto"/>
            <w:noWrap/>
          </w:tcPr>
          <w:p w14:paraId="69E26456" w14:textId="77777777" w:rsidR="00AC5626" w:rsidRPr="00F20A47" w:rsidRDefault="00AC5626" w:rsidP="004C4A84">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Product</w:t>
            </w:r>
          </w:p>
        </w:tc>
        <w:tc>
          <w:tcPr>
            <w:tcW w:w="615" w:type="dxa"/>
            <w:shd w:val="clear" w:color="auto" w:fill="auto"/>
          </w:tcPr>
          <w:p w14:paraId="2D3026A9" w14:textId="77777777" w:rsidR="00AC5626" w:rsidRPr="00023704" w:rsidRDefault="00AC5626" w:rsidP="004C4A84">
            <w:pPr>
              <w:jc w:val="center"/>
              <w:rPr>
                <w:rFonts w:ascii="Calibri" w:hAnsi="Calibri" w:cs="Calibri"/>
                <w:color w:val="000000"/>
                <w:sz w:val="16"/>
                <w:szCs w:val="16"/>
              </w:rPr>
            </w:pPr>
            <w:r>
              <w:rPr>
                <w:rFonts w:ascii="Calibri" w:hAnsi="Calibri" w:cs="Calibri"/>
                <w:color w:val="000000"/>
                <w:sz w:val="16"/>
                <w:szCs w:val="16"/>
              </w:rPr>
              <w:t>% of GP</w:t>
            </w:r>
          </w:p>
        </w:tc>
      </w:tr>
      <w:tr w:rsidR="00AC5626" w:rsidRPr="00F20A47" w14:paraId="7583FE1C" w14:textId="77777777" w:rsidTr="004C4A84">
        <w:trPr>
          <w:trHeight w:hRule="exact" w:val="227"/>
        </w:trPr>
        <w:tc>
          <w:tcPr>
            <w:tcW w:w="1555" w:type="dxa"/>
            <w:shd w:val="clear" w:color="auto" w:fill="auto"/>
            <w:noWrap/>
            <w:hideMark/>
          </w:tcPr>
          <w:p w14:paraId="041097E1" w14:textId="77777777" w:rsidR="00AC5626" w:rsidRPr="00F20A47" w:rsidRDefault="00AC5626" w:rsidP="004C4A84">
            <w:pPr>
              <w:spacing w:after="0" w:line="240" w:lineRule="auto"/>
              <w:rPr>
                <w:rFonts w:ascii="Calibri" w:eastAsia="Times New Roman" w:hAnsi="Calibri" w:cs="Calibri"/>
                <w:color w:val="000000"/>
                <w:sz w:val="16"/>
                <w:szCs w:val="16"/>
                <w:lang w:eastAsia="en-GB"/>
              </w:rPr>
            </w:pPr>
            <w:r w:rsidRPr="00023704">
              <w:rPr>
                <w:rFonts w:ascii="Calibri" w:eastAsia="Times New Roman" w:hAnsi="Calibri" w:cs="Calibri"/>
                <w:color w:val="000000"/>
                <w:sz w:val="16"/>
                <w:szCs w:val="16"/>
                <w:lang w:eastAsia="en-GB"/>
              </w:rPr>
              <w:t>W</w:t>
            </w:r>
            <w:r w:rsidRPr="00F20A47">
              <w:rPr>
                <w:rFonts w:ascii="Calibri" w:eastAsia="Times New Roman" w:hAnsi="Calibri" w:cs="Calibri"/>
                <w:color w:val="000000"/>
                <w:sz w:val="16"/>
                <w:szCs w:val="16"/>
                <w:lang w:eastAsia="en-GB"/>
              </w:rPr>
              <w:t>ine</w:t>
            </w:r>
          </w:p>
        </w:tc>
        <w:tc>
          <w:tcPr>
            <w:tcW w:w="615" w:type="dxa"/>
            <w:shd w:val="clear" w:color="auto" w:fill="auto"/>
          </w:tcPr>
          <w:p w14:paraId="0B9F3369" w14:textId="77777777" w:rsidR="00AC5626" w:rsidRPr="00023704" w:rsidRDefault="00AC5626" w:rsidP="004C4A84">
            <w:pPr>
              <w:jc w:val="right"/>
              <w:rPr>
                <w:rFonts w:ascii="Calibri" w:hAnsi="Calibri" w:cs="Calibri"/>
                <w:color w:val="000000"/>
                <w:sz w:val="16"/>
                <w:szCs w:val="16"/>
              </w:rPr>
            </w:pPr>
            <w:r w:rsidRPr="00023704">
              <w:rPr>
                <w:rFonts w:ascii="Calibri" w:hAnsi="Calibri" w:cs="Calibri"/>
                <w:color w:val="000000"/>
                <w:sz w:val="16"/>
                <w:szCs w:val="16"/>
              </w:rPr>
              <w:t>5.6%</w:t>
            </w:r>
          </w:p>
        </w:tc>
      </w:tr>
      <w:tr w:rsidR="00AC5626" w:rsidRPr="00F20A47" w14:paraId="3D4F58B9" w14:textId="77777777" w:rsidTr="004C4A84">
        <w:trPr>
          <w:trHeight w:hRule="exact" w:val="227"/>
        </w:trPr>
        <w:tc>
          <w:tcPr>
            <w:tcW w:w="1555" w:type="dxa"/>
            <w:shd w:val="clear" w:color="auto" w:fill="auto"/>
            <w:noWrap/>
            <w:hideMark/>
          </w:tcPr>
          <w:p w14:paraId="63B87680" w14:textId="77777777" w:rsidR="00AC5626" w:rsidRPr="00F20A47" w:rsidRDefault="00AC5626" w:rsidP="004C4A84">
            <w:pPr>
              <w:spacing w:after="0" w:line="240" w:lineRule="auto"/>
              <w:rPr>
                <w:rFonts w:ascii="Calibri" w:eastAsia="Times New Roman" w:hAnsi="Calibri" w:cs="Calibri"/>
                <w:color w:val="000000"/>
                <w:sz w:val="16"/>
                <w:szCs w:val="16"/>
                <w:lang w:eastAsia="en-GB"/>
              </w:rPr>
            </w:pPr>
            <w:r w:rsidRPr="00023704">
              <w:rPr>
                <w:rFonts w:ascii="Calibri" w:eastAsia="Times New Roman" w:hAnsi="Calibri" w:cs="Calibri"/>
                <w:color w:val="000000"/>
                <w:sz w:val="16"/>
                <w:szCs w:val="16"/>
                <w:lang w:eastAsia="en-GB"/>
              </w:rPr>
              <w:t>S</w:t>
            </w:r>
            <w:r>
              <w:rPr>
                <w:rFonts w:ascii="Calibri" w:eastAsia="Times New Roman" w:hAnsi="Calibri" w:cs="Calibri"/>
                <w:color w:val="000000"/>
                <w:sz w:val="16"/>
                <w:szCs w:val="16"/>
                <w:lang w:eastAsia="en-GB"/>
              </w:rPr>
              <w:t>oft D</w:t>
            </w:r>
            <w:r w:rsidRPr="00F20A47">
              <w:rPr>
                <w:rFonts w:ascii="Calibri" w:eastAsia="Times New Roman" w:hAnsi="Calibri" w:cs="Calibri"/>
                <w:color w:val="000000"/>
                <w:sz w:val="16"/>
                <w:szCs w:val="16"/>
                <w:lang w:eastAsia="en-GB"/>
              </w:rPr>
              <w:t>rinks</w:t>
            </w:r>
          </w:p>
        </w:tc>
        <w:tc>
          <w:tcPr>
            <w:tcW w:w="615" w:type="dxa"/>
            <w:shd w:val="clear" w:color="auto" w:fill="auto"/>
          </w:tcPr>
          <w:p w14:paraId="36A6EFEE" w14:textId="77777777" w:rsidR="00AC5626" w:rsidRPr="00023704" w:rsidRDefault="00AC5626" w:rsidP="004C4A84">
            <w:pPr>
              <w:jc w:val="right"/>
              <w:rPr>
                <w:rFonts w:ascii="Calibri" w:hAnsi="Calibri" w:cs="Calibri"/>
                <w:color w:val="000000"/>
                <w:sz w:val="16"/>
                <w:szCs w:val="16"/>
              </w:rPr>
            </w:pPr>
            <w:r w:rsidRPr="00023704">
              <w:rPr>
                <w:rFonts w:ascii="Calibri" w:hAnsi="Calibri" w:cs="Calibri"/>
                <w:color w:val="000000"/>
                <w:sz w:val="16"/>
                <w:szCs w:val="16"/>
              </w:rPr>
              <w:t>4.8%</w:t>
            </w:r>
          </w:p>
        </w:tc>
      </w:tr>
      <w:tr w:rsidR="00AC5626" w:rsidRPr="00F20A47" w14:paraId="540F0BF5" w14:textId="77777777" w:rsidTr="004C4A84">
        <w:trPr>
          <w:trHeight w:hRule="exact" w:val="227"/>
        </w:trPr>
        <w:tc>
          <w:tcPr>
            <w:tcW w:w="1555" w:type="dxa"/>
            <w:shd w:val="clear" w:color="auto" w:fill="auto"/>
            <w:noWrap/>
            <w:hideMark/>
          </w:tcPr>
          <w:p w14:paraId="280B9430" w14:textId="77777777" w:rsidR="00AC5626" w:rsidRPr="00F20A47" w:rsidRDefault="00AC5626" w:rsidP="004C4A84">
            <w:pPr>
              <w:spacing w:after="0" w:line="240" w:lineRule="auto"/>
              <w:rPr>
                <w:rFonts w:ascii="Calibri" w:eastAsia="Times New Roman" w:hAnsi="Calibri" w:cs="Calibri"/>
                <w:color w:val="000000"/>
                <w:sz w:val="16"/>
                <w:szCs w:val="16"/>
                <w:lang w:eastAsia="en-GB"/>
              </w:rPr>
            </w:pPr>
            <w:r w:rsidRPr="00F20A47">
              <w:rPr>
                <w:rFonts w:ascii="Calibri" w:eastAsia="Times New Roman" w:hAnsi="Calibri" w:cs="Calibri"/>
                <w:color w:val="000000"/>
                <w:sz w:val="16"/>
                <w:szCs w:val="16"/>
                <w:lang w:eastAsia="en-GB"/>
              </w:rPr>
              <w:t>Eggs</w:t>
            </w:r>
          </w:p>
        </w:tc>
        <w:tc>
          <w:tcPr>
            <w:tcW w:w="615" w:type="dxa"/>
            <w:shd w:val="clear" w:color="auto" w:fill="auto"/>
          </w:tcPr>
          <w:p w14:paraId="5F40CD40" w14:textId="77777777" w:rsidR="00AC5626" w:rsidRPr="00023704" w:rsidRDefault="00AC5626" w:rsidP="004C4A84">
            <w:pPr>
              <w:jc w:val="right"/>
              <w:rPr>
                <w:rFonts w:ascii="Calibri" w:hAnsi="Calibri" w:cs="Calibri"/>
                <w:color w:val="000000"/>
                <w:sz w:val="16"/>
                <w:szCs w:val="16"/>
              </w:rPr>
            </w:pPr>
            <w:r w:rsidRPr="00023704">
              <w:rPr>
                <w:rFonts w:ascii="Calibri" w:hAnsi="Calibri" w:cs="Calibri"/>
                <w:color w:val="000000"/>
                <w:sz w:val="16"/>
                <w:szCs w:val="16"/>
              </w:rPr>
              <w:t>4.0%</w:t>
            </w:r>
          </w:p>
        </w:tc>
      </w:tr>
      <w:tr w:rsidR="00AC5626" w:rsidRPr="00F20A47" w14:paraId="790C61B2" w14:textId="77777777" w:rsidTr="004C4A84">
        <w:trPr>
          <w:trHeight w:hRule="exact" w:val="227"/>
        </w:trPr>
        <w:tc>
          <w:tcPr>
            <w:tcW w:w="1555" w:type="dxa"/>
            <w:shd w:val="clear" w:color="auto" w:fill="auto"/>
            <w:noWrap/>
            <w:hideMark/>
          </w:tcPr>
          <w:p w14:paraId="604A8B92" w14:textId="77777777" w:rsidR="00AC5626" w:rsidRPr="00F20A47" w:rsidRDefault="00AC5626" w:rsidP="004C4A84">
            <w:pPr>
              <w:spacing w:after="0" w:line="240" w:lineRule="auto"/>
              <w:rPr>
                <w:rFonts w:ascii="Calibri" w:eastAsia="Times New Roman" w:hAnsi="Calibri" w:cs="Calibri"/>
                <w:color w:val="000000"/>
                <w:sz w:val="16"/>
                <w:szCs w:val="16"/>
                <w:lang w:eastAsia="en-GB"/>
              </w:rPr>
            </w:pPr>
            <w:r w:rsidRPr="00F20A47">
              <w:rPr>
                <w:rFonts w:ascii="Calibri" w:eastAsia="Times New Roman" w:hAnsi="Calibri" w:cs="Calibri"/>
                <w:color w:val="000000"/>
                <w:sz w:val="16"/>
                <w:szCs w:val="16"/>
                <w:lang w:eastAsia="en-GB"/>
              </w:rPr>
              <w:t>Fish</w:t>
            </w:r>
          </w:p>
        </w:tc>
        <w:tc>
          <w:tcPr>
            <w:tcW w:w="615" w:type="dxa"/>
            <w:shd w:val="clear" w:color="auto" w:fill="auto"/>
          </w:tcPr>
          <w:p w14:paraId="26D94A84" w14:textId="77777777" w:rsidR="00AC5626" w:rsidRPr="00023704" w:rsidRDefault="00AC5626" w:rsidP="004C4A84">
            <w:pPr>
              <w:jc w:val="right"/>
              <w:rPr>
                <w:rFonts w:ascii="Calibri" w:hAnsi="Calibri" w:cs="Calibri"/>
                <w:color w:val="000000"/>
                <w:sz w:val="16"/>
                <w:szCs w:val="16"/>
              </w:rPr>
            </w:pPr>
            <w:r w:rsidRPr="00023704">
              <w:rPr>
                <w:rFonts w:ascii="Calibri" w:hAnsi="Calibri" w:cs="Calibri"/>
                <w:color w:val="000000"/>
                <w:sz w:val="16"/>
                <w:szCs w:val="16"/>
              </w:rPr>
              <w:t>3.9%</w:t>
            </w:r>
          </w:p>
        </w:tc>
      </w:tr>
      <w:tr w:rsidR="0077417E" w:rsidRPr="00F20A47" w14:paraId="4213BA41" w14:textId="77777777" w:rsidTr="004C4A84">
        <w:trPr>
          <w:trHeight w:hRule="exact" w:val="227"/>
        </w:trPr>
        <w:tc>
          <w:tcPr>
            <w:tcW w:w="1555" w:type="dxa"/>
            <w:shd w:val="clear" w:color="auto" w:fill="auto"/>
            <w:noWrap/>
          </w:tcPr>
          <w:p w14:paraId="6B0CEF42" w14:textId="77777777" w:rsidR="0077417E" w:rsidRPr="00F20A47" w:rsidRDefault="0077417E" w:rsidP="004C4A84">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Meat</w:t>
            </w:r>
          </w:p>
        </w:tc>
        <w:tc>
          <w:tcPr>
            <w:tcW w:w="615" w:type="dxa"/>
            <w:shd w:val="clear" w:color="auto" w:fill="auto"/>
          </w:tcPr>
          <w:p w14:paraId="6A43B215" w14:textId="77777777" w:rsidR="0077417E" w:rsidRPr="00023704" w:rsidRDefault="0077417E" w:rsidP="004C4A84">
            <w:pPr>
              <w:jc w:val="right"/>
              <w:rPr>
                <w:rFonts w:ascii="Calibri" w:hAnsi="Calibri" w:cs="Calibri"/>
                <w:color w:val="000000"/>
                <w:sz w:val="16"/>
                <w:szCs w:val="16"/>
              </w:rPr>
            </w:pPr>
            <w:r>
              <w:rPr>
                <w:rFonts w:ascii="Calibri" w:hAnsi="Calibri" w:cs="Calibri"/>
                <w:color w:val="000000"/>
                <w:sz w:val="16"/>
                <w:szCs w:val="16"/>
              </w:rPr>
              <w:t>3.6%</w:t>
            </w:r>
          </w:p>
        </w:tc>
      </w:tr>
      <w:tr w:rsidR="00AC5626" w:rsidRPr="00F20A47" w14:paraId="2DA3785D" w14:textId="77777777" w:rsidTr="004C4A84">
        <w:trPr>
          <w:trHeight w:hRule="exact" w:val="227"/>
        </w:trPr>
        <w:tc>
          <w:tcPr>
            <w:tcW w:w="1555" w:type="dxa"/>
            <w:shd w:val="clear" w:color="auto" w:fill="auto"/>
            <w:noWrap/>
            <w:hideMark/>
          </w:tcPr>
          <w:p w14:paraId="09DD154D" w14:textId="77777777" w:rsidR="00AC5626" w:rsidRPr="00F20A47" w:rsidRDefault="00AC5626" w:rsidP="004C4A84">
            <w:pPr>
              <w:spacing w:after="0" w:line="240" w:lineRule="auto"/>
              <w:rPr>
                <w:rFonts w:ascii="Calibri" w:eastAsia="Times New Roman" w:hAnsi="Calibri" w:cs="Calibri"/>
                <w:color w:val="000000"/>
                <w:sz w:val="16"/>
                <w:szCs w:val="16"/>
                <w:lang w:eastAsia="en-GB"/>
              </w:rPr>
            </w:pPr>
            <w:r w:rsidRPr="00F20A47">
              <w:rPr>
                <w:rFonts w:ascii="Calibri" w:eastAsia="Times New Roman" w:hAnsi="Calibri" w:cs="Calibri"/>
                <w:color w:val="000000"/>
                <w:sz w:val="16"/>
                <w:szCs w:val="16"/>
                <w:lang w:eastAsia="en-GB"/>
              </w:rPr>
              <w:t>Biscuits</w:t>
            </w:r>
          </w:p>
        </w:tc>
        <w:tc>
          <w:tcPr>
            <w:tcW w:w="615" w:type="dxa"/>
            <w:shd w:val="clear" w:color="auto" w:fill="auto"/>
          </w:tcPr>
          <w:p w14:paraId="0186DB9B" w14:textId="77777777" w:rsidR="00AC5626" w:rsidRPr="00023704" w:rsidRDefault="00AC5626" w:rsidP="004C4A84">
            <w:pPr>
              <w:jc w:val="right"/>
              <w:rPr>
                <w:rFonts w:ascii="Calibri" w:hAnsi="Calibri" w:cs="Calibri"/>
                <w:color w:val="000000"/>
                <w:sz w:val="16"/>
                <w:szCs w:val="16"/>
              </w:rPr>
            </w:pPr>
            <w:r w:rsidRPr="00023704">
              <w:rPr>
                <w:rFonts w:ascii="Calibri" w:hAnsi="Calibri" w:cs="Calibri"/>
                <w:color w:val="000000"/>
                <w:sz w:val="16"/>
                <w:szCs w:val="16"/>
              </w:rPr>
              <w:t>3.2%</w:t>
            </w:r>
          </w:p>
        </w:tc>
      </w:tr>
      <w:tr w:rsidR="00AC5626" w:rsidRPr="00F20A47" w14:paraId="78A973BF" w14:textId="77777777" w:rsidTr="004C4A84">
        <w:trPr>
          <w:trHeight w:hRule="exact" w:val="227"/>
        </w:trPr>
        <w:tc>
          <w:tcPr>
            <w:tcW w:w="1555" w:type="dxa"/>
            <w:shd w:val="clear" w:color="auto" w:fill="auto"/>
            <w:noWrap/>
            <w:hideMark/>
          </w:tcPr>
          <w:p w14:paraId="734D6452" w14:textId="77777777" w:rsidR="00AC5626" w:rsidRPr="00F20A47" w:rsidRDefault="00AC5626" w:rsidP="004C4A84">
            <w:pPr>
              <w:spacing w:after="0" w:line="240" w:lineRule="auto"/>
              <w:rPr>
                <w:rFonts w:ascii="Calibri" w:eastAsia="Times New Roman" w:hAnsi="Calibri" w:cs="Calibri"/>
                <w:color w:val="000000"/>
                <w:sz w:val="16"/>
                <w:szCs w:val="16"/>
                <w:lang w:eastAsia="en-GB"/>
              </w:rPr>
            </w:pPr>
            <w:r w:rsidRPr="00023704">
              <w:rPr>
                <w:rFonts w:ascii="Calibri" w:eastAsia="Times New Roman" w:hAnsi="Calibri" w:cs="Calibri"/>
                <w:color w:val="000000"/>
                <w:sz w:val="16"/>
                <w:szCs w:val="16"/>
                <w:lang w:eastAsia="en-GB"/>
              </w:rPr>
              <w:t>I</w:t>
            </w:r>
            <w:r w:rsidRPr="00F20A47">
              <w:rPr>
                <w:rFonts w:ascii="Calibri" w:eastAsia="Times New Roman" w:hAnsi="Calibri" w:cs="Calibri"/>
                <w:color w:val="000000"/>
                <w:sz w:val="16"/>
                <w:szCs w:val="16"/>
                <w:lang w:eastAsia="en-GB"/>
              </w:rPr>
              <w:t xml:space="preserve">ce </w:t>
            </w:r>
            <w:r w:rsidRPr="00023704">
              <w:rPr>
                <w:rFonts w:ascii="Calibri" w:eastAsia="Times New Roman" w:hAnsi="Calibri" w:cs="Calibri"/>
                <w:color w:val="000000"/>
                <w:sz w:val="16"/>
                <w:szCs w:val="16"/>
                <w:lang w:eastAsia="en-GB"/>
              </w:rPr>
              <w:t>C</w:t>
            </w:r>
            <w:r w:rsidRPr="00F20A47">
              <w:rPr>
                <w:rFonts w:ascii="Calibri" w:eastAsia="Times New Roman" w:hAnsi="Calibri" w:cs="Calibri"/>
                <w:color w:val="000000"/>
                <w:sz w:val="16"/>
                <w:szCs w:val="16"/>
                <w:lang w:eastAsia="en-GB"/>
              </w:rPr>
              <w:t>ream</w:t>
            </w:r>
          </w:p>
        </w:tc>
        <w:tc>
          <w:tcPr>
            <w:tcW w:w="615" w:type="dxa"/>
            <w:shd w:val="clear" w:color="auto" w:fill="auto"/>
          </w:tcPr>
          <w:p w14:paraId="7B0E8FA4" w14:textId="77777777" w:rsidR="00AC5626" w:rsidRPr="00023704" w:rsidRDefault="00AC5626" w:rsidP="004C4A84">
            <w:pPr>
              <w:jc w:val="right"/>
              <w:rPr>
                <w:rFonts w:ascii="Calibri" w:hAnsi="Calibri" w:cs="Calibri"/>
                <w:color w:val="000000"/>
                <w:sz w:val="16"/>
                <w:szCs w:val="16"/>
              </w:rPr>
            </w:pPr>
            <w:r w:rsidRPr="00023704">
              <w:rPr>
                <w:rFonts w:ascii="Calibri" w:hAnsi="Calibri" w:cs="Calibri"/>
                <w:color w:val="000000"/>
                <w:sz w:val="16"/>
                <w:szCs w:val="16"/>
              </w:rPr>
              <w:t>3.0%</w:t>
            </w:r>
          </w:p>
        </w:tc>
      </w:tr>
      <w:tr w:rsidR="00AC5626" w:rsidRPr="00F20A47" w14:paraId="4232D3C4" w14:textId="77777777" w:rsidTr="004C4A84">
        <w:trPr>
          <w:trHeight w:hRule="exact" w:val="227"/>
        </w:trPr>
        <w:tc>
          <w:tcPr>
            <w:tcW w:w="1555" w:type="dxa"/>
            <w:shd w:val="clear" w:color="auto" w:fill="auto"/>
            <w:noWrap/>
            <w:hideMark/>
          </w:tcPr>
          <w:p w14:paraId="17CA5941" w14:textId="77777777" w:rsidR="00AC5626" w:rsidRPr="00F20A47" w:rsidRDefault="00AC5626" w:rsidP="004C4A84">
            <w:pPr>
              <w:spacing w:after="0" w:line="240" w:lineRule="auto"/>
              <w:rPr>
                <w:rFonts w:ascii="Calibri" w:eastAsia="Times New Roman" w:hAnsi="Calibri" w:cs="Calibri"/>
                <w:color w:val="000000"/>
                <w:sz w:val="16"/>
                <w:szCs w:val="16"/>
                <w:lang w:eastAsia="en-GB"/>
              </w:rPr>
            </w:pPr>
            <w:r w:rsidRPr="00F20A47">
              <w:rPr>
                <w:rFonts w:ascii="Calibri" w:eastAsia="Times New Roman" w:hAnsi="Calibri" w:cs="Calibri"/>
                <w:color w:val="000000"/>
                <w:sz w:val="16"/>
                <w:szCs w:val="16"/>
                <w:lang w:eastAsia="en-GB"/>
              </w:rPr>
              <w:t>Christmas</w:t>
            </w:r>
            <w:r>
              <w:rPr>
                <w:rFonts w:ascii="Calibri" w:eastAsia="Times New Roman" w:hAnsi="Calibri" w:cs="Calibri"/>
                <w:color w:val="000000"/>
                <w:sz w:val="16"/>
                <w:szCs w:val="16"/>
                <w:lang w:eastAsia="en-GB"/>
              </w:rPr>
              <w:t xml:space="preserve"> Products</w:t>
            </w:r>
          </w:p>
        </w:tc>
        <w:tc>
          <w:tcPr>
            <w:tcW w:w="615" w:type="dxa"/>
            <w:shd w:val="clear" w:color="auto" w:fill="auto"/>
          </w:tcPr>
          <w:p w14:paraId="48CED79F" w14:textId="77777777" w:rsidR="00AC5626" w:rsidRPr="00023704" w:rsidRDefault="00AC5626" w:rsidP="004C4A84">
            <w:pPr>
              <w:jc w:val="right"/>
              <w:rPr>
                <w:rFonts w:ascii="Calibri" w:hAnsi="Calibri" w:cs="Calibri"/>
                <w:color w:val="000000"/>
                <w:sz w:val="16"/>
                <w:szCs w:val="16"/>
              </w:rPr>
            </w:pPr>
            <w:r w:rsidRPr="00023704">
              <w:rPr>
                <w:rFonts w:ascii="Calibri" w:hAnsi="Calibri" w:cs="Calibri"/>
                <w:color w:val="000000"/>
                <w:sz w:val="16"/>
                <w:szCs w:val="16"/>
              </w:rPr>
              <w:t>2.9%</w:t>
            </w:r>
          </w:p>
        </w:tc>
      </w:tr>
      <w:tr w:rsidR="00AC5626" w:rsidRPr="00F20A47" w14:paraId="483C24D2" w14:textId="77777777" w:rsidTr="004C4A84">
        <w:trPr>
          <w:trHeight w:hRule="exact" w:val="227"/>
        </w:trPr>
        <w:tc>
          <w:tcPr>
            <w:tcW w:w="1555" w:type="dxa"/>
            <w:shd w:val="clear" w:color="auto" w:fill="auto"/>
            <w:noWrap/>
            <w:hideMark/>
          </w:tcPr>
          <w:p w14:paraId="32F2DA59" w14:textId="77777777" w:rsidR="00AC5626" w:rsidRPr="00F20A47" w:rsidRDefault="00AC5626" w:rsidP="004C4A84">
            <w:pPr>
              <w:spacing w:after="0" w:line="240" w:lineRule="auto"/>
              <w:rPr>
                <w:rFonts w:ascii="Calibri" w:eastAsia="Times New Roman" w:hAnsi="Calibri" w:cs="Calibri"/>
                <w:color w:val="000000"/>
                <w:sz w:val="16"/>
                <w:szCs w:val="16"/>
                <w:lang w:eastAsia="en-GB"/>
              </w:rPr>
            </w:pPr>
            <w:r w:rsidRPr="00F20A47">
              <w:rPr>
                <w:rFonts w:ascii="Calibri" w:eastAsia="Times New Roman" w:hAnsi="Calibri" w:cs="Calibri"/>
                <w:color w:val="000000"/>
                <w:sz w:val="16"/>
                <w:szCs w:val="16"/>
                <w:lang w:eastAsia="en-GB"/>
              </w:rPr>
              <w:t>Sweets</w:t>
            </w:r>
          </w:p>
        </w:tc>
        <w:tc>
          <w:tcPr>
            <w:tcW w:w="615" w:type="dxa"/>
            <w:shd w:val="clear" w:color="auto" w:fill="auto"/>
          </w:tcPr>
          <w:p w14:paraId="29AF6180" w14:textId="77777777" w:rsidR="00AC5626" w:rsidRPr="00023704" w:rsidRDefault="00AC5626" w:rsidP="004C4A84">
            <w:pPr>
              <w:jc w:val="right"/>
              <w:rPr>
                <w:rFonts w:ascii="Calibri" w:hAnsi="Calibri" w:cs="Calibri"/>
                <w:color w:val="000000"/>
                <w:sz w:val="16"/>
                <w:szCs w:val="16"/>
              </w:rPr>
            </w:pPr>
            <w:r w:rsidRPr="00023704">
              <w:rPr>
                <w:rFonts w:ascii="Calibri" w:hAnsi="Calibri" w:cs="Calibri"/>
                <w:color w:val="000000"/>
                <w:sz w:val="16"/>
                <w:szCs w:val="16"/>
              </w:rPr>
              <w:t>2.6%</w:t>
            </w:r>
          </w:p>
        </w:tc>
      </w:tr>
      <w:tr w:rsidR="00AC5626" w:rsidRPr="00F20A47" w14:paraId="78DB964C" w14:textId="77777777" w:rsidTr="004C4A84">
        <w:trPr>
          <w:trHeight w:hRule="exact" w:val="227"/>
        </w:trPr>
        <w:tc>
          <w:tcPr>
            <w:tcW w:w="1555" w:type="dxa"/>
            <w:shd w:val="clear" w:color="auto" w:fill="auto"/>
            <w:noWrap/>
            <w:hideMark/>
          </w:tcPr>
          <w:p w14:paraId="465D6468" w14:textId="77777777" w:rsidR="00AC5626" w:rsidRPr="00F20A47" w:rsidRDefault="00AC5626" w:rsidP="004C4A84">
            <w:pPr>
              <w:spacing w:after="0" w:line="240" w:lineRule="auto"/>
              <w:rPr>
                <w:rFonts w:ascii="Calibri" w:eastAsia="Times New Roman" w:hAnsi="Calibri" w:cs="Calibri"/>
                <w:color w:val="000000"/>
                <w:sz w:val="16"/>
                <w:szCs w:val="16"/>
                <w:lang w:eastAsia="en-GB"/>
              </w:rPr>
            </w:pPr>
            <w:r w:rsidRPr="00F20A47">
              <w:rPr>
                <w:rFonts w:ascii="Calibri" w:eastAsia="Times New Roman" w:hAnsi="Calibri" w:cs="Calibri"/>
                <w:color w:val="000000"/>
                <w:sz w:val="16"/>
                <w:szCs w:val="16"/>
                <w:lang w:eastAsia="en-GB"/>
              </w:rPr>
              <w:t>Crisp Nuts &amp; Snacks</w:t>
            </w:r>
          </w:p>
        </w:tc>
        <w:tc>
          <w:tcPr>
            <w:tcW w:w="615" w:type="dxa"/>
            <w:shd w:val="clear" w:color="auto" w:fill="auto"/>
          </w:tcPr>
          <w:p w14:paraId="07E1B4A3" w14:textId="77777777" w:rsidR="00AC5626" w:rsidRPr="00023704" w:rsidRDefault="00AC5626" w:rsidP="004C4A84">
            <w:pPr>
              <w:jc w:val="right"/>
              <w:rPr>
                <w:rFonts w:ascii="Calibri" w:hAnsi="Calibri" w:cs="Calibri"/>
                <w:color w:val="000000"/>
                <w:sz w:val="16"/>
                <w:szCs w:val="16"/>
              </w:rPr>
            </w:pPr>
            <w:r w:rsidRPr="00023704">
              <w:rPr>
                <w:rFonts w:ascii="Calibri" w:hAnsi="Calibri" w:cs="Calibri"/>
                <w:color w:val="000000"/>
                <w:sz w:val="16"/>
                <w:szCs w:val="16"/>
              </w:rPr>
              <w:t>1.7%</w:t>
            </w:r>
          </w:p>
        </w:tc>
      </w:tr>
      <w:tr w:rsidR="00AC5626" w:rsidRPr="00F20A47" w14:paraId="63149A93" w14:textId="77777777" w:rsidTr="004C4A84">
        <w:trPr>
          <w:trHeight w:hRule="exact" w:val="227"/>
        </w:trPr>
        <w:tc>
          <w:tcPr>
            <w:tcW w:w="1555" w:type="dxa"/>
            <w:shd w:val="clear" w:color="auto" w:fill="auto"/>
            <w:noWrap/>
            <w:hideMark/>
          </w:tcPr>
          <w:p w14:paraId="1B21CD95" w14:textId="77777777" w:rsidR="00AC5626" w:rsidRPr="00F20A47" w:rsidRDefault="00AC5626" w:rsidP="004C4A84">
            <w:pPr>
              <w:spacing w:after="0" w:line="240" w:lineRule="auto"/>
              <w:rPr>
                <w:rFonts w:ascii="Calibri" w:eastAsia="Times New Roman" w:hAnsi="Calibri" w:cs="Calibri"/>
                <w:color w:val="000000"/>
                <w:sz w:val="16"/>
                <w:szCs w:val="16"/>
                <w:lang w:eastAsia="en-GB"/>
              </w:rPr>
            </w:pPr>
            <w:r w:rsidRPr="00023704">
              <w:rPr>
                <w:rFonts w:ascii="Calibri" w:eastAsia="Times New Roman" w:hAnsi="Calibri" w:cs="Calibri"/>
                <w:color w:val="000000"/>
                <w:sz w:val="16"/>
                <w:szCs w:val="16"/>
                <w:lang w:eastAsia="en-GB"/>
              </w:rPr>
              <w:t>M</w:t>
            </w:r>
            <w:r w:rsidRPr="00F20A47">
              <w:rPr>
                <w:rFonts w:ascii="Calibri" w:eastAsia="Times New Roman" w:hAnsi="Calibri" w:cs="Calibri"/>
                <w:color w:val="000000"/>
                <w:sz w:val="16"/>
                <w:szCs w:val="16"/>
                <w:lang w:eastAsia="en-GB"/>
              </w:rPr>
              <w:t xml:space="preserve">ilk &amp; </w:t>
            </w:r>
            <w:r w:rsidRPr="00023704">
              <w:rPr>
                <w:rFonts w:ascii="Calibri" w:eastAsia="Times New Roman" w:hAnsi="Calibri" w:cs="Calibri"/>
                <w:color w:val="000000"/>
                <w:sz w:val="16"/>
                <w:szCs w:val="16"/>
                <w:lang w:eastAsia="en-GB"/>
              </w:rPr>
              <w:t>Y</w:t>
            </w:r>
            <w:r w:rsidRPr="00F20A47">
              <w:rPr>
                <w:rFonts w:ascii="Calibri" w:eastAsia="Times New Roman" w:hAnsi="Calibri" w:cs="Calibri"/>
                <w:color w:val="000000"/>
                <w:sz w:val="16"/>
                <w:szCs w:val="16"/>
                <w:lang w:eastAsia="en-GB"/>
              </w:rPr>
              <w:t>oghurt</w:t>
            </w:r>
          </w:p>
        </w:tc>
        <w:tc>
          <w:tcPr>
            <w:tcW w:w="615" w:type="dxa"/>
            <w:shd w:val="clear" w:color="auto" w:fill="auto"/>
          </w:tcPr>
          <w:p w14:paraId="7AD89D39" w14:textId="77777777" w:rsidR="00AC5626" w:rsidRPr="00023704" w:rsidRDefault="00AC5626" w:rsidP="004C4A84">
            <w:pPr>
              <w:jc w:val="right"/>
              <w:rPr>
                <w:rFonts w:ascii="Calibri" w:hAnsi="Calibri" w:cs="Calibri"/>
                <w:color w:val="000000"/>
                <w:sz w:val="16"/>
                <w:szCs w:val="16"/>
              </w:rPr>
            </w:pPr>
            <w:r w:rsidRPr="00023704">
              <w:rPr>
                <w:rFonts w:ascii="Calibri" w:hAnsi="Calibri" w:cs="Calibri"/>
                <w:color w:val="000000"/>
                <w:sz w:val="16"/>
                <w:szCs w:val="16"/>
              </w:rPr>
              <w:t>1.5%</w:t>
            </w:r>
          </w:p>
        </w:tc>
      </w:tr>
      <w:tr w:rsidR="00AC5626" w:rsidRPr="00F20A47" w14:paraId="53B50932" w14:textId="77777777" w:rsidTr="004C4A84">
        <w:trPr>
          <w:trHeight w:hRule="exact" w:val="227"/>
        </w:trPr>
        <w:tc>
          <w:tcPr>
            <w:tcW w:w="1555" w:type="dxa"/>
            <w:shd w:val="clear" w:color="auto" w:fill="auto"/>
            <w:noWrap/>
            <w:hideMark/>
          </w:tcPr>
          <w:p w14:paraId="287AF7CF" w14:textId="77777777" w:rsidR="00AC5626" w:rsidRPr="00F20A47" w:rsidRDefault="00AC5626" w:rsidP="004C4A84">
            <w:pPr>
              <w:spacing w:after="0" w:line="240" w:lineRule="auto"/>
              <w:rPr>
                <w:rFonts w:ascii="Calibri" w:eastAsia="Times New Roman" w:hAnsi="Calibri" w:cs="Calibri"/>
                <w:color w:val="000000"/>
                <w:sz w:val="16"/>
                <w:szCs w:val="16"/>
                <w:lang w:eastAsia="en-GB"/>
              </w:rPr>
            </w:pPr>
            <w:r w:rsidRPr="00023704">
              <w:rPr>
                <w:rFonts w:ascii="Calibri" w:eastAsia="Times New Roman" w:hAnsi="Calibri" w:cs="Calibri"/>
                <w:color w:val="000000"/>
                <w:sz w:val="16"/>
                <w:szCs w:val="16"/>
                <w:lang w:eastAsia="en-GB"/>
              </w:rPr>
              <w:t>B</w:t>
            </w:r>
            <w:r w:rsidRPr="00F20A47">
              <w:rPr>
                <w:rFonts w:ascii="Calibri" w:eastAsia="Times New Roman" w:hAnsi="Calibri" w:cs="Calibri"/>
                <w:color w:val="000000"/>
                <w:sz w:val="16"/>
                <w:szCs w:val="16"/>
                <w:lang w:eastAsia="en-GB"/>
              </w:rPr>
              <w:t>read</w:t>
            </w:r>
          </w:p>
        </w:tc>
        <w:tc>
          <w:tcPr>
            <w:tcW w:w="615" w:type="dxa"/>
            <w:shd w:val="clear" w:color="auto" w:fill="auto"/>
          </w:tcPr>
          <w:p w14:paraId="10818416" w14:textId="77777777" w:rsidR="00AC5626" w:rsidRPr="00023704" w:rsidRDefault="00AC5626" w:rsidP="004C4A84">
            <w:pPr>
              <w:jc w:val="right"/>
              <w:rPr>
                <w:rFonts w:ascii="Calibri" w:hAnsi="Calibri" w:cs="Calibri"/>
                <w:color w:val="000000"/>
                <w:sz w:val="16"/>
                <w:szCs w:val="16"/>
              </w:rPr>
            </w:pPr>
            <w:r w:rsidRPr="00023704">
              <w:rPr>
                <w:rFonts w:ascii="Calibri" w:hAnsi="Calibri" w:cs="Calibri"/>
                <w:color w:val="000000"/>
                <w:sz w:val="16"/>
                <w:szCs w:val="16"/>
              </w:rPr>
              <w:t>1.5%</w:t>
            </w:r>
          </w:p>
        </w:tc>
      </w:tr>
      <w:tr w:rsidR="00AC5626" w:rsidRPr="00F20A47" w14:paraId="5F4697BF" w14:textId="77777777" w:rsidTr="004C4A84">
        <w:trPr>
          <w:trHeight w:hRule="exact" w:val="227"/>
        </w:trPr>
        <w:tc>
          <w:tcPr>
            <w:tcW w:w="1555" w:type="dxa"/>
            <w:shd w:val="clear" w:color="auto" w:fill="auto"/>
            <w:noWrap/>
            <w:hideMark/>
          </w:tcPr>
          <w:p w14:paraId="632EAEC2" w14:textId="77777777" w:rsidR="00AC5626" w:rsidRPr="00F20A47" w:rsidRDefault="00AC5626" w:rsidP="004C4A84">
            <w:pPr>
              <w:spacing w:after="0" w:line="240" w:lineRule="auto"/>
              <w:rPr>
                <w:rFonts w:ascii="Calibri" w:eastAsia="Times New Roman" w:hAnsi="Calibri" w:cs="Calibri"/>
                <w:color w:val="000000"/>
                <w:sz w:val="16"/>
                <w:szCs w:val="16"/>
                <w:lang w:eastAsia="en-GB"/>
              </w:rPr>
            </w:pPr>
            <w:r w:rsidRPr="00F20A47">
              <w:rPr>
                <w:rFonts w:ascii="Calibri" w:eastAsia="Times New Roman" w:hAnsi="Calibri" w:cs="Calibri"/>
                <w:color w:val="000000"/>
                <w:sz w:val="16"/>
                <w:szCs w:val="16"/>
                <w:lang w:eastAsia="en-GB"/>
              </w:rPr>
              <w:t>Cheese</w:t>
            </w:r>
          </w:p>
        </w:tc>
        <w:tc>
          <w:tcPr>
            <w:tcW w:w="615" w:type="dxa"/>
            <w:shd w:val="clear" w:color="auto" w:fill="auto"/>
          </w:tcPr>
          <w:p w14:paraId="10F34263" w14:textId="77777777" w:rsidR="00AC5626" w:rsidRPr="00023704" w:rsidRDefault="00AC5626" w:rsidP="004C4A84">
            <w:pPr>
              <w:jc w:val="right"/>
              <w:rPr>
                <w:rFonts w:ascii="Calibri" w:hAnsi="Calibri" w:cs="Calibri"/>
                <w:color w:val="000000"/>
                <w:sz w:val="16"/>
                <w:szCs w:val="16"/>
              </w:rPr>
            </w:pPr>
            <w:r w:rsidRPr="00023704">
              <w:rPr>
                <w:rFonts w:ascii="Calibri" w:hAnsi="Calibri" w:cs="Calibri"/>
                <w:color w:val="000000"/>
                <w:sz w:val="16"/>
                <w:szCs w:val="16"/>
              </w:rPr>
              <w:t>1.3%</w:t>
            </w:r>
          </w:p>
        </w:tc>
      </w:tr>
      <w:tr w:rsidR="0077417E" w:rsidRPr="00F20A47" w14:paraId="6929FBC1" w14:textId="77777777" w:rsidTr="004C4A84">
        <w:trPr>
          <w:trHeight w:hRule="exact" w:val="227"/>
        </w:trPr>
        <w:tc>
          <w:tcPr>
            <w:tcW w:w="1555" w:type="dxa"/>
            <w:shd w:val="clear" w:color="auto" w:fill="auto"/>
            <w:noWrap/>
          </w:tcPr>
          <w:p w14:paraId="323854AD" w14:textId="77777777" w:rsidR="0077417E" w:rsidRPr="00F20A47" w:rsidRDefault="0077417E" w:rsidP="004C4A84">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Tea/Coffee</w:t>
            </w:r>
          </w:p>
        </w:tc>
        <w:tc>
          <w:tcPr>
            <w:tcW w:w="615" w:type="dxa"/>
            <w:shd w:val="clear" w:color="auto" w:fill="auto"/>
          </w:tcPr>
          <w:p w14:paraId="361545F8" w14:textId="77777777" w:rsidR="0077417E" w:rsidRPr="00023704" w:rsidRDefault="0077417E" w:rsidP="004C4A84">
            <w:pPr>
              <w:jc w:val="right"/>
              <w:rPr>
                <w:rFonts w:ascii="Calibri" w:hAnsi="Calibri" w:cs="Calibri"/>
                <w:color w:val="000000"/>
                <w:sz w:val="16"/>
                <w:szCs w:val="16"/>
              </w:rPr>
            </w:pPr>
            <w:r>
              <w:rPr>
                <w:rFonts w:ascii="Calibri" w:hAnsi="Calibri" w:cs="Calibri"/>
                <w:color w:val="000000"/>
                <w:sz w:val="16"/>
                <w:szCs w:val="16"/>
              </w:rPr>
              <w:t>1.0%</w:t>
            </w:r>
          </w:p>
        </w:tc>
      </w:tr>
    </w:tbl>
    <w:p w14:paraId="0AAC11F4" w14:textId="77777777" w:rsidR="006477C4" w:rsidRDefault="003E0776" w:rsidP="006477C4">
      <w:r>
        <w:t xml:space="preserve">The </w:t>
      </w:r>
      <w:r w:rsidR="00AD25FD">
        <w:t>Pantry</w:t>
      </w:r>
      <w:r>
        <w:t xml:space="preserve"> </w:t>
      </w:r>
      <w:r w:rsidRPr="003E0776">
        <w:t xml:space="preserve">is a blend of distinct local products, convenience store and </w:t>
      </w:r>
      <w:r>
        <w:t>a cafe focussing on Home Baking</w:t>
      </w:r>
      <w:r w:rsidR="002A2A38">
        <w:t xml:space="preserve">. </w:t>
      </w:r>
      <w:r w:rsidR="007855F5">
        <w:t xml:space="preserve">Based on data over the past 14 </w:t>
      </w:r>
      <w:r w:rsidR="004E4AED">
        <w:t>months</w:t>
      </w:r>
      <w:r>
        <w:t xml:space="preserve"> w</w:t>
      </w:r>
      <w:r w:rsidR="006477C4">
        <w:t xml:space="preserve">e estimate that circa </w:t>
      </w:r>
      <w:r w:rsidR="0077417E">
        <w:t>50%</w:t>
      </w:r>
      <w:r w:rsidR="002A2A38">
        <w:t xml:space="preserve"> of our Gross Profit comes</w:t>
      </w:r>
      <w:r w:rsidR="006477C4">
        <w:t xml:space="preserve"> from café sales and 5</w:t>
      </w:r>
      <w:r w:rsidR="0077417E">
        <w:t>0%</w:t>
      </w:r>
      <w:r w:rsidR="006477C4">
        <w:t xml:space="preserve"> from shop sales.</w:t>
      </w:r>
    </w:p>
    <w:p w14:paraId="06397444" w14:textId="77777777" w:rsidR="00FD2ED3" w:rsidRPr="00A205E0" w:rsidRDefault="008F6AE2" w:rsidP="00FD2ED3">
      <w:r w:rsidRPr="00A205E0">
        <w:t xml:space="preserve">We started to open on Wednesday </w:t>
      </w:r>
      <w:r w:rsidR="005D47E3" w:rsidRPr="00A205E0">
        <w:t>mornings</w:t>
      </w:r>
      <w:r w:rsidRPr="00A205E0">
        <w:t xml:space="preserve"> from June and changed the opening times in the afternoons </w:t>
      </w:r>
      <w:r w:rsidR="005D47E3" w:rsidRPr="00A205E0">
        <w:t xml:space="preserve">so we are now open from </w:t>
      </w:r>
      <w:r w:rsidRPr="00A205E0">
        <w:t>2</w:t>
      </w:r>
      <w:r w:rsidR="005D47E3" w:rsidRPr="00A205E0">
        <w:t xml:space="preserve">pm to </w:t>
      </w:r>
      <w:r w:rsidRPr="00A205E0">
        <w:t>5</w:t>
      </w:r>
      <w:r w:rsidR="005D47E3" w:rsidRPr="00A205E0">
        <w:t>pm</w:t>
      </w:r>
      <w:r w:rsidR="003E0776">
        <w:t xml:space="preserve"> and have supported a number of</w:t>
      </w:r>
      <w:r w:rsidRPr="00A205E0">
        <w:t xml:space="preserve"> local events: Hampshire Village Hall Conference, Braishfield 5-mile Race, European elections</w:t>
      </w:r>
      <w:r w:rsidR="003E0776">
        <w:t>,</w:t>
      </w:r>
      <w:r w:rsidRPr="00A205E0">
        <w:t xml:space="preserve"> Jubilee Celebrations</w:t>
      </w:r>
      <w:r w:rsidR="003E0776">
        <w:t>, Local MP Surgery and BVA Christmas carols.</w:t>
      </w:r>
    </w:p>
    <w:p w14:paraId="652E1823" w14:textId="77777777" w:rsidR="008F6AE2" w:rsidRPr="00A205E0" w:rsidRDefault="003E0776" w:rsidP="00FD2ED3">
      <w:r>
        <w:t xml:space="preserve">In addition, we have hosted two wine tasting events, as well as a cooking demonstration (Canapes for Christmas). These events are very popular and are </w:t>
      </w:r>
      <w:r w:rsidR="0022606A">
        <w:t xml:space="preserve">both </w:t>
      </w:r>
      <w:r>
        <w:t xml:space="preserve">important sources of revenue </w:t>
      </w:r>
      <w:r w:rsidR="0022606A">
        <w:t xml:space="preserve">and a means </w:t>
      </w:r>
      <w:r w:rsidR="002A2A38">
        <w:t>of attracting</w:t>
      </w:r>
      <w:r>
        <w:t xml:space="preserve"> new customers</w:t>
      </w:r>
      <w:r w:rsidR="0022606A">
        <w:t xml:space="preserve"> which will</w:t>
      </w:r>
      <w:r>
        <w:t xml:space="preserve"> be developed in 2017</w:t>
      </w:r>
      <w:r w:rsidR="004E4AED">
        <w:t>-18</w:t>
      </w:r>
      <w:r>
        <w:t>.</w:t>
      </w:r>
    </w:p>
    <w:p w14:paraId="3460E2D6" w14:textId="77777777" w:rsidR="00F20A47" w:rsidRPr="00A205E0" w:rsidRDefault="003E0776" w:rsidP="003E0776">
      <w:r w:rsidRPr="00A205E0">
        <w:t xml:space="preserve">We have grown our </w:t>
      </w:r>
      <w:r w:rsidR="00F20A47">
        <w:t>products</w:t>
      </w:r>
      <w:r w:rsidRPr="00A205E0">
        <w:t xml:space="preserve"> from 2</w:t>
      </w:r>
      <w:r w:rsidR="00F20A47">
        <w:t>79</w:t>
      </w:r>
      <w:r w:rsidRPr="00A205E0">
        <w:t xml:space="preserve"> items to </w:t>
      </w:r>
      <w:r w:rsidR="00F20A47">
        <w:t>615 and have 3</w:t>
      </w:r>
      <w:r w:rsidR="000B44B4">
        <w:t>0</w:t>
      </w:r>
      <w:r w:rsidR="00F20A47">
        <w:t xml:space="preserve"> local suppliers. The “product mix” between convenience and distinct local products appears to be well balanced</w:t>
      </w:r>
      <w:r w:rsidR="00023704">
        <w:t xml:space="preserve">, albeit it is the more distinct products </w:t>
      </w:r>
      <w:r w:rsidR="0022606A">
        <w:t>e.g.</w:t>
      </w:r>
      <w:r w:rsidR="00023704">
        <w:t xml:space="preserve"> Trout Pate, Roy Hunt Pies and Broughton Buffalo that are best sellers.</w:t>
      </w:r>
      <w:r w:rsidR="00F20A47">
        <w:t xml:space="preserve"> </w:t>
      </w:r>
    </w:p>
    <w:p w14:paraId="03EB09B5" w14:textId="77777777" w:rsidR="009E2A89" w:rsidRDefault="009E2A89" w:rsidP="00FD2ED3">
      <w:pPr>
        <w:rPr>
          <w:b/>
          <w:sz w:val="24"/>
          <w:szCs w:val="24"/>
        </w:rPr>
      </w:pPr>
    </w:p>
    <w:p w14:paraId="6AE00FAF" w14:textId="77777777" w:rsidR="00EE1AA4" w:rsidRDefault="009E2A89" w:rsidP="00EE1AA4">
      <w:pPr>
        <w:rPr>
          <w:sz w:val="24"/>
          <w:szCs w:val="24"/>
        </w:rPr>
      </w:pPr>
      <w:r>
        <w:rPr>
          <w:b/>
          <w:sz w:val="24"/>
          <w:szCs w:val="24"/>
        </w:rPr>
        <w:t>Prices</w:t>
      </w:r>
      <w:r w:rsidR="00EE1AA4" w:rsidRPr="00EE1AA4">
        <w:rPr>
          <w:sz w:val="24"/>
          <w:szCs w:val="24"/>
        </w:rPr>
        <w:t xml:space="preserve"> </w:t>
      </w:r>
    </w:p>
    <w:p w14:paraId="30C6AFDA" w14:textId="77777777" w:rsidR="00EE1AA4" w:rsidRDefault="00EE1AA4" w:rsidP="00EE1AA4">
      <w:pPr>
        <w:rPr>
          <w:sz w:val="24"/>
          <w:szCs w:val="24"/>
        </w:rPr>
      </w:pPr>
      <w:r w:rsidRPr="009E2A89">
        <w:rPr>
          <w:sz w:val="24"/>
          <w:szCs w:val="24"/>
        </w:rPr>
        <w:t>Our aim is to be be reasonably priced compared to local supermarkets.</w:t>
      </w:r>
      <w:r>
        <w:rPr>
          <w:sz w:val="24"/>
          <w:szCs w:val="24"/>
        </w:rPr>
        <w:t xml:space="preserve"> Against a basket of 15 products the </w:t>
      </w:r>
      <w:r w:rsidR="00AD25FD">
        <w:rPr>
          <w:sz w:val="24"/>
          <w:szCs w:val="24"/>
        </w:rPr>
        <w:t>Pantry</w:t>
      </w:r>
      <w:r>
        <w:rPr>
          <w:sz w:val="24"/>
          <w:szCs w:val="24"/>
        </w:rPr>
        <w:t xml:space="preserve"> is within 5% of Sainsbury’s at Badger’s Farm and 4% of Waitrose in Romsey. However, when one adds travel cost the </w:t>
      </w:r>
      <w:r w:rsidR="00AD25FD">
        <w:rPr>
          <w:sz w:val="24"/>
          <w:szCs w:val="24"/>
        </w:rPr>
        <w:t>Pantry</w:t>
      </w:r>
      <w:r>
        <w:rPr>
          <w:sz w:val="24"/>
          <w:szCs w:val="24"/>
        </w:rPr>
        <w:t xml:space="preserve"> works out cheaper than both. </w:t>
      </w:r>
    </w:p>
    <w:p w14:paraId="5154FAA9" w14:textId="77777777" w:rsidR="009E2A89" w:rsidRDefault="00EE1AA4" w:rsidP="00FD2ED3">
      <w:pPr>
        <w:rPr>
          <w:b/>
          <w:sz w:val="24"/>
          <w:szCs w:val="24"/>
        </w:rPr>
      </w:pPr>
      <w:r w:rsidRPr="009E2A89">
        <w:rPr>
          <w:noProof/>
          <w:lang w:eastAsia="en-GB"/>
        </w:rPr>
        <w:drawing>
          <wp:anchor distT="0" distB="0" distL="114300" distR="114300" simplePos="0" relativeHeight="251669504" behindDoc="1" locked="0" layoutInCell="1" allowOverlap="1" wp14:anchorId="5A316A1D" wp14:editId="34C0B965">
            <wp:simplePos x="0" y="0"/>
            <wp:positionH relativeFrom="margin">
              <wp:posOffset>11430</wp:posOffset>
            </wp:positionH>
            <wp:positionV relativeFrom="paragraph">
              <wp:posOffset>7620</wp:posOffset>
            </wp:positionV>
            <wp:extent cx="4083685" cy="2943225"/>
            <wp:effectExtent l="0" t="0" r="0" b="9525"/>
            <wp:wrapTight wrapText="bothSides">
              <wp:wrapPolygon edited="0">
                <wp:start x="0" y="0"/>
                <wp:lineTo x="0" y="21530"/>
                <wp:lineTo x="21462" y="21530"/>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3685"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2115A3" w14:textId="77777777" w:rsidR="00D8019B" w:rsidRDefault="00D8019B" w:rsidP="00FD2ED3">
      <w:pPr>
        <w:rPr>
          <w:sz w:val="24"/>
          <w:szCs w:val="24"/>
        </w:rPr>
      </w:pPr>
    </w:p>
    <w:p w14:paraId="4447EBCD" w14:textId="77777777" w:rsidR="00D8019B" w:rsidRPr="00D8019B" w:rsidRDefault="00EE1AA4" w:rsidP="00FD2ED3">
      <w:pPr>
        <w:rPr>
          <w:sz w:val="16"/>
          <w:szCs w:val="16"/>
          <w:vertAlign w:val="superscript"/>
        </w:rPr>
      </w:pPr>
      <w:r>
        <w:rPr>
          <w:sz w:val="24"/>
          <w:szCs w:val="24"/>
        </w:rPr>
        <w:t xml:space="preserve"> </w:t>
      </w:r>
      <w:r w:rsidR="00D8019B">
        <w:rPr>
          <w:sz w:val="24"/>
          <w:szCs w:val="24"/>
        </w:rPr>
        <w:t>(</w:t>
      </w:r>
      <w:r w:rsidR="00D8019B" w:rsidRPr="00D8019B">
        <w:rPr>
          <w:sz w:val="16"/>
          <w:szCs w:val="16"/>
        </w:rPr>
        <w:t>Notes:</w:t>
      </w:r>
      <w:r w:rsidR="00D8019B">
        <w:rPr>
          <w:sz w:val="16"/>
          <w:szCs w:val="16"/>
        </w:rPr>
        <w:t xml:space="preserve"> </w:t>
      </w:r>
      <w:r w:rsidR="00D8019B" w:rsidRPr="00D8019B">
        <w:rPr>
          <w:sz w:val="16"/>
          <w:szCs w:val="16"/>
        </w:rPr>
        <w:t>Comparison made on March 13</w:t>
      </w:r>
      <w:r w:rsidR="00D8019B" w:rsidRPr="00D8019B">
        <w:rPr>
          <w:sz w:val="16"/>
          <w:szCs w:val="16"/>
          <w:vertAlign w:val="superscript"/>
        </w:rPr>
        <w:t>th</w:t>
      </w:r>
    </w:p>
    <w:p w14:paraId="162DEC4B" w14:textId="77777777" w:rsidR="00D8019B" w:rsidRPr="00D8019B" w:rsidRDefault="00D8019B" w:rsidP="00FD2ED3">
      <w:pPr>
        <w:rPr>
          <w:sz w:val="16"/>
          <w:szCs w:val="16"/>
        </w:rPr>
      </w:pPr>
      <w:r w:rsidRPr="00D8019B">
        <w:rPr>
          <w:rFonts w:cstheme="minorHAnsi"/>
          <w:sz w:val="16"/>
          <w:szCs w:val="16"/>
        </w:rPr>
        <w:t>Travel is based on mileage from centre of Braishfield,</w:t>
      </w:r>
      <w:r w:rsidRPr="00D8019B">
        <w:rPr>
          <w:sz w:val="16"/>
          <w:szCs w:val="16"/>
        </w:rPr>
        <w:t xml:space="preserve"> petrol at £1.20 p/lt and average MPG of 35.)</w:t>
      </w:r>
    </w:p>
    <w:p w14:paraId="7ACEC465" w14:textId="77777777" w:rsidR="00D8019B" w:rsidRDefault="00D8019B" w:rsidP="00FD2ED3">
      <w:pPr>
        <w:rPr>
          <w:b/>
          <w:sz w:val="24"/>
          <w:szCs w:val="24"/>
        </w:rPr>
      </w:pPr>
    </w:p>
    <w:p w14:paraId="69515E02" w14:textId="77777777" w:rsidR="00D8019B" w:rsidRDefault="00D8019B" w:rsidP="00FD2ED3">
      <w:pPr>
        <w:rPr>
          <w:b/>
          <w:sz w:val="24"/>
          <w:szCs w:val="24"/>
        </w:rPr>
      </w:pPr>
    </w:p>
    <w:p w14:paraId="719074B9" w14:textId="77777777" w:rsidR="00F70B0C" w:rsidRDefault="00F70B0C" w:rsidP="00FD2ED3">
      <w:pPr>
        <w:rPr>
          <w:b/>
          <w:sz w:val="24"/>
          <w:szCs w:val="24"/>
        </w:rPr>
      </w:pPr>
    </w:p>
    <w:p w14:paraId="4DDAE307" w14:textId="77777777" w:rsidR="00EE1AA4" w:rsidRDefault="00EE1AA4" w:rsidP="00FD2ED3">
      <w:pPr>
        <w:rPr>
          <w:b/>
          <w:sz w:val="24"/>
          <w:szCs w:val="24"/>
        </w:rPr>
      </w:pPr>
    </w:p>
    <w:p w14:paraId="61446D44" w14:textId="77777777" w:rsidR="00EE1AA4" w:rsidRDefault="00EE1AA4" w:rsidP="00FD2ED3">
      <w:pPr>
        <w:rPr>
          <w:b/>
          <w:sz w:val="24"/>
          <w:szCs w:val="24"/>
        </w:rPr>
      </w:pPr>
    </w:p>
    <w:p w14:paraId="1920AEDC" w14:textId="77777777" w:rsidR="00EE1AA4" w:rsidRDefault="00EE1AA4" w:rsidP="00FD2ED3">
      <w:pPr>
        <w:rPr>
          <w:b/>
          <w:sz w:val="24"/>
          <w:szCs w:val="24"/>
        </w:rPr>
      </w:pPr>
    </w:p>
    <w:p w14:paraId="15E0E9A5" w14:textId="77777777" w:rsidR="00FD2ED3" w:rsidRPr="004D5CF3" w:rsidRDefault="00FD2ED3" w:rsidP="00FD2ED3">
      <w:pPr>
        <w:rPr>
          <w:b/>
          <w:sz w:val="24"/>
          <w:szCs w:val="24"/>
        </w:rPr>
      </w:pPr>
      <w:r w:rsidRPr="004D5CF3">
        <w:rPr>
          <w:b/>
          <w:sz w:val="24"/>
          <w:szCs w:val="24"/>
        </w:rPr>
        <w:t>Marketing</w:t>
      </w:r>
    </w:p>
    <w:p w14:paraId="70700980" w14:textId="77777777" w:rsidR="008F6AE2" w:rsidRDefault="00023704" w:rsidP="0022606A">
      <w:r>
        <w:t xml:space="preserve">The </w:t>
      </w:r>
      <w:r w:rsidR="00AD25FD">
        <w:t>Pantry</w:t>
      </w:r>
      <w:r>
        <w:t xml:space="preserve"> now has a</w:t>
      </w:r>
      <w:r w:rsidR="008F6AE2" w:rsidRPr="00A205E0">
        <w:t xml:space="preserve"> website</w:t>
      </w:r>
      <w:r>
        <w:t xml:space="preserve">, </w:t>
      </w:r>
      <w:r w:rsidR="0022606A">
        <w:t>Facebook</w:t>
      </w:r>
      <w:r>
        <w:t xml:space="preserve"> Page and Twitter Account. The website is not heavily used but </w:t>
      </w:r>
      <w:r w:rsidR="0022606A">
        <w:t>T</w:t>
      </w:r>
      <w:r>
        <w:t xml:space="preserve">witter and Facebook are becoming useful tools to </w:t>
      </w:r>
      <w:r w:rsidR="0022606A">
        <w:t xml:space="preserve">stay connected with suppliers. We have established an email distribution list but this is still in its infancy and we still rely heavily on word of mouth and posters around the village. </w:t>
      </w:r>
    </w:p>
    <w:p w14:paraId="152953F0" w14:textId="77777777" w:rsidR="0022606A" w:rsidRPr="00A205E0" w:rsidRDefault="0022606A" w:rsidP="0022606A">
      <w:r>
        <w:t xml:space="preserve">Marketing is one area where we recognise more could be done and greater expertise and time is perhaps required to fully develop the </w:t>
      </w:r>
      <w:r w:rsidR="00AD25FD">
        <w:t>Pantry</w:t>
      </w:r>
    </w:p>
    <w:p w14:paraId="6D85C8F8" w14:textId="77777777" w:rsidR="00EE1AA4" w:rsidRDefault="00EE1AA4" w:rsidP="00FD2ED3">
      <w:pPr>
        <w:rPr>
          <w:b/>
          <w:sz w:val="24"/>
          <w:szCs w:val="24"/>
        </w:rPr>
      </w:pPr>
    </w:p>
    <w:p w14:paraId="407BC76F" w14:textId="77777777" w:rsidR="00FD2ED3" w:rsidRPr="004D5CF3" w:rsidRDefault="00FD2ED3" w:rsidP="00FD2ED3">
      <w:pPr>
        <w:rPr>
          <w:b/>
          <w:sz w:val="24"/>
          <w:szCs w:val="24"/>
        </w:rPr>
      </w:pPr>
      <w:r w:rsidRPr="004D5CF3">
        <w:rPr>
          <w:b/>
          <w:sz w:val="24"/>
          <w:szCs w:val="24"/>
        </w:rPr>
        <w:t>Premises</w:t>
      </w:r>
    </w:p>
    <w:p w14:paraId="679EB22E" w14:textId="77777777" w:rsidR="00027355" w:rsidRPr="00A205E0" w:rsidRDefault="00027355" w:rsidP="00FD2ED3">
      <w:r w:rsidRPr="00A205E0">
        <w:t xml:space="preserve">We moved into the new extension </w:t>
      </w:r>
      <w:r w:rsidR="0022606A">
        <w:t>in</w:t>
      </w:r>
      <w:r w:rsidRPr="00A205E0">
        <w:t xml:space="preserve"> February </w:t>
      </w:r>
      <w:r w:rsidR="0022606A">
        <w:t xml:space="preserve">2016 </w:t>
      </w:r>
      <w:r w:rsidRPr="00A205E0">
        <w:t>and have continued to develop the facilities:</w:t>
      </w:r>
    </w:p>
    <w:p w14:paraId="4E268C24" w14:textId="77777777" w:rsidR="00027355" w:rsidRPr="00A205E0" w:rsidRDefault="00027355" w:rsidP="00027355">
      <w:pPr>
        <w:pStyle w:val="ListParagraph"/>
        <w:numPr>
          <w:ilvl w:val="0"/>
          <w:numId w:val="1"/>
        </w:numPr>
      </w:pPr>
      <w:r w:rsidRPr="00A205E0">
        <w:t>A new store room and volunteer toilet w</w:t>
      </w:r>
      <w:r w:rsidR="00AD25FD">
        <w:t xml:space="preserve">ere </w:t>
      </w:r>
      <w:r w:rsidRPr="00A205E0">
        <w:t xml:space="preserve">finished </w:t>
      </w:r>
    </w:p>
    <w:p w14:paraId="37DB1D77" w14:textId="77777777" w:rsidR="00027355" w:rsidRPr="00A205E0" w:rsidRDefault="00027355" w:rsidP="00027355">
      <w:pPr>
        <w:pStyle w:val="ListParagraph"/>
        <w:numPr>
          <w:ilvl w:val="0"/>
          <w:numId w:val="1"/>
        </w:numPr>
      </w:pPr>
      <w:r w:rsidRPr="00A205E0">
        <w:t xml:space="preserve">New shelving was installed </w:t>
      </w:r>
    </w:p>
    <w:p w14:paraId="6C0636A5" w14:textId="77777777" w:rsidR="00027355" w:rsidRPr="00A205E0" w:rsidRDefault="00027355" w:rsidP="00027355">
      <w:pPr>
        <w:pStyle w:val="ListParagraph"/>
        <w:numPr>
          <w:ilvl w:val="0"/>
          <w:numId w:val="1"/>
        </w:numPr>
      </w:pPr>
      <w:r w:rsidRPr="00A205E0">
        <w:t xml:space="preserve">New seating for both indoors and outdoors was purchased </w:t>
      </w:r>
    </w:p>
    <w:p w14:paraId="456B3EAB" w14:textId="77777777" w:rsidR="00027355" w:rsidRDefault="00027355" w:rsidP="00027355">
      <w:pPr>
        <w:pStyle w:val="ListParagraph"/>
        <w:numPr>
          <w:ilvl w:val="0"/>
          <w:numId w:val="1"/>
        </w:numPr>
      </w:pPr>
      <w:r w:rsidRPr="00A205E0">
        <w:t xml:space="preserve">Air – conditioning was added </w:t>
      </w:r>
    </w:p>
    <w:p w14:paraId="3E500129" w14:textId="77777777" w:rsidR="004E4AED" w:rsidRDefault="004E4AED" w:rsidP="00027355">
      <w:pPr>
        <w:pStyle w:val="ListParagraph"/>
        <w:numPr>
          <w:ilvl w:val="0"/>
          <w:numId w:val="1"/>
        </w:numPr>
      </w:pPr>
      <w:r>
        <w:t>New Chillers were purchased in March</w:t>
      </w:r>
    </w:p>
    <w:p w14:paraId="1E494FF9" w14:textId="77777777" w:rsidR="0022606A" w:rsidRDefault="0022606A" w:rsidP="0022606A">
      <w:r>
        <w:t>We will continually look to utilise space in 2017 an</w:t>
      </w:r>
      <w:r w:rsidR="007652D1">
        <w:t xml:space="preserve">d have recognised the need </w:t>
      </w:r>
      <w:r w:rsidR="00824A32">
        <w:t>for better</w:t>
      </w:r>
      <w:r>
        <w:t xml:space="preserve"> </w:t>
      </w:r>
      <w:r w:rsidR="001C2931">
        <w:t>product display</w:t>
      </w:r>
      <w:r>
        <w:t xml:space="preserve"> which we aim to develop in 2017.</w:t>
      </w:r>
    </w:p>
    <w:p w14:paraId="7D8DC145" w14:textId="77777777" w:rsidR="00EE1AA4" w:rsidRDefault="00EE1AA4" w:rsidP="0022606A"/>
    <w:p w14:paraId="423C6EA6" w14:textId="77777777" w:rsidR="00EE1AA4" w:rsidRDefault="00EE1AA4" w:rsidP="0022606A"/>
    <w:p w14:paraId="236DB671" w14:textId="77777777" w:rsidR="00EE1AA4" w:rsidRDefault="00EE1AA4" w:rsidP="0022606A"/>
    <w:p w14:paraId="42FCC240" w14:textId="77777777" w:rsidR="00EE1AA4" w:rsidRDefault="00EE1AA4" w:rsidP="0022606A"/>
    <w:p w14:paraId="75B4E9BD" w14:textId="77777777" w:rsidR="00EE1AA4" w:rsidRDefault="00EE1AA4" w:rsidP="0022606A"/>
    <w:p w14:paraId="3877E55B" w14:textId="77777777" w:rsidR="00FD2ED3" w:rsidRPr="004D5CF3" w:rsidRDefault="00027355" w:rsidP="005C7FD5">
      <w:pPr>
        <w:jc w:val="center"/>
        <w:rPr>
          <w:b/>
          <w:sz w:val="24"/>
          <w:szCs w:val="24"/>
        </w:rPr>
      </w:pPr>
      <w:r w:rsidRPr="004D5CF3">
        <w:rPr>
          <w:b/>
          <w:sz w:val="24"/>
          <w:szCs w:val="24"/>
        </w:rPr>
        <w:t>Key Performance Indicators</w:t>
      </w:r>
    </w:p>
    <w:tbl>
      <w:tblPr>
        <w:tblStyle w:val="TableGrid"/>
        <w:tblW w:w="0" w:type="auto"/>
        <w:jc w:val="center"/>
        <w:tblLook w:val="04A0" w:firstRow="1" w:lastRow="0" w:firstColumn="1" w:lastColumn="0" w:noHBand="0" w:noVBand="1"/>
      </w:tblPr>
      <w:tblGrid>
        <w:gridCol w:w="3584"/>
        <w:gridCol w:w="842"/>
        <w:gridCol w:w="821"/>
        <w:gridCol w:w="985"/>
        <w:gridCol w:w="954"/>
        <w:gridCol w:w="889"/>
        <w:gridCol w:w="1011"/>
        <w:gridCol w:w="1011"/>
      </w:tblGrid>
      <w:tr w:rsidR="004E4AED" w:rsidRPr="0087406F" w14:paraId="78FE2AB5" w14:textId="77777777" w:rsidTr="00877830">
        <w:trPr>
          <w:jc w:val="center"/>
        </w:trPr>
        <w:tc>
          <w:tcPr>
            <w:tcW w:w="3584" w:type="dxa"/>
          </w:tcPr>
          <w:p w14:paraId="6AA6AAE6" w14:textId="77777777" w:rsidR="004E4AED" w:rsidRPr="0087406F" w:rsidRDefault="004E4AED" w:rsidP="00FD0A15">
            <w:pPr>
              <w:jc w:val="center"/>
            </w:pPr>
          </w:p>
        </w:tc>
        <w:tc>
          <w:tcPr>
            <w:tcW w:w="842" w:type="dxa"/>
          </w:tcPr>
          <w:p w14:paraId="16F72767" w14:textId="77777777" w:rsidR="004E4AED" w:rsidRPr="0087406F" w:rsidRDefault="004E4AED" w:rsidP="00FD0A15">
            <w:pPr>
              <w:jc w:val="center"/>
            </w:pPr>
          </w:p>
        </w:tc>
        <w:tc>
          <w:tcPr>
            <w:tcW w:w="821" w:type="dxa"/>
          </w:tcPr>
          <w:p w14:paraId="22AF58D6" w14:textId="77777777" w:rsidR="004E4AED" w:rsidRPr="0087406F" w:rsidRDefault="004E4AED" w:rsidP="00632618">
            <w:pPr>
              <w:jc w:val="center"/>
            </w:pPr>
          </w:p>
        </w:tc>
        <w:tc>
          <w:tcPr>
            <w:tcW w:w="4850" w:type="dxa"/>
            <w:gridSpan w:val="5"/>
          </w:tcPr>
          <w:p w14:paraId="3BEFC8FB" w14:textId="77777777" w:rsidR="004E4AED" w:rsidRDefault="004E4AED" w:rsidP="00FD0A15">
            <w:pPr>
              <w:jc w:val="center"/>
            </w:pPr>
            <w:r>
              <w:t>Actuals Feb 16 -Mar 17</w:t>
            </w:r>
          </w:p>
        </w:tc>
      </w:tr>
      <w:tr w:rsidR="004E4AED" w:rsidRPr="0087406F" w14:paraId="6C864809" w14:textId="77777777" w:rsidTr="0018360D">
        <w:trPr>
          <w:jc w:val="center"/>
        </w:trPr>
        <w:tc>
          <w:tcPr>
            <w:tcW w:w="3584" w:type="dxa"/>
          </w:tcPr>
          <w:p w14:paraId="49B966AD" w14:textId="77777777" w:rsidR="004E4AED" w:rsidRPr="0087406F" w:rsidRDefault="004E4AED" w:rsidP="00FD0A15">
            <w:pPr>
              <w:jc w:val="center"/>
            </w:pPr>
            <w:r w:rsidRPr="0087406F">
              <w:t>Indicator</w:t>
            </w:r>
          </w:p>
        </w:tc>
        <w:tc>
          <w:tcPr>
            <w:tcW w:w="842" w:type="dxa"/>
          </w:tcPr>
          <w:p w14:paraId="68A4DDAD" w14:textId="77777777" w:rsidR="004E4AED" w:rsidRPr="0087406F" w:rsidRDefault="004E4AED" w:rsidP="00FD0A15">
            <w:pPr>
              <w:jc w:val="center"/>
            </w:pPr>
            <w:r w:rsidRPr="0087406F">
              <w:t>Target</w:t>
            </w:r>
          </w:p>
        </w:tc>
        <w:tc>
          <w:tcPr>
            <w:tcW w:w="821" w:type="dxa"/>
          </w:tcPr>
          <w:p w14:paraId="17D92618" w14:textId="77777777" w:rsidR="004E4AED" w:rsidRPr="0087406F" w:rsidRDefault="004E4AED" w:rsidP="00632618">
            <w:pPr>
              <w:jc w:val="center"/>
            </w:pPr>
            <w:r w:rsidRPr="0087406F">
              <w:t>2015</w:t>
            </w:r>
          </w:p>
        </w:tc>
        <w:tc>
          <w:tcPr>
            <w:tcW w:w="985" w:type="dxa"/>
          </w:tcPr>
          <w:p w14:paraId="00971DF2" w14:textId="77777777" w:rsidR="004E4AED" w:rsidRPr="0087406F" w:rsidRDefault="004E4AED" w:rsidP="00FD0A15">
            <w:pPr>
              <w:jc w:val="center"/>
            </w:pPr>
            <w:r w:rsidRPr="0087406F">
              <w:t>Q1</w:t>
            </w:r>
          </w:p>
        </w:tc>
        <w:tc>
          <w:tcPr>
            <w:tcW w:w="954" w:type="dxa"/>
          </w:tcPr>
          <w:p w14:paraId="40647B5F" w14:textId="77777777" w:rsidR="004E4AED" w:rsidRPr="0087406F" w:rsidRDefault="004E4AED" w:rsidP="00FD0A15">
            <w:pPr>
              <w:jc w:val="center"/>
            </w:pPr>
            <w:r w:rsidRPr="0087406F">
              <w:t>Q2</w:t>
            </w:r>
          </w:p>
        </w:tc>
        <w:tc>
          <w:tcPr>
            <w:tcW w:w="889" w:type="dxa"/>
          </w:tcPr>
          <w:p w14:paraId="69DDB6AA" w14:textId="77777777" w:rsidR="004E4AED" w:rsidRPr="0087406F" w:rsidRDefault="004E4AED" w:rsidP="00FD0A15">
            <w:pPr>
              <w:jc w:val="center"/>
            </w:pPr>
            <w:r w:rsidRPr="0087406F">
              <w:t>Q3</w:t>
            </w:r>
          </w:p>
        </w:tc>
        <w:tc>
          <w:tcPr>
            <w:tcW w:w="1011" w:type="dxa"/>
          </w:tcPr>
          <w:p w14:paraId="79B5842D" w14:textId="77777777" w:rsidR="004E4AED" w:rsidRPr="0087406F" w:rsidRDefault="004E4AED" w:rsidP="00FD0A15">
            <w:pPr>
              <w:jc w:val="center"/>
            </w:pPr>
            <w:r w:rsidRPr="0087406F">
              <w:t>Q4</w:t>
            </w:r>
          </w:p>
        </w:tc>
        <w:tc>
          <w:tcPr>
            <w:tcW w:w="1011" w:type="dxa"/>
          </w:tcPr>
          <w:p w14:paraId="439CAC2E" w14:textId="77777777" w:rsidR="004E4AED" w:rsidRPr="0087406F" w:rsidRDefault="004E4AED" w:rsidP="00FD0A15">
            <w:pPr>
              <w:jc w:val="center"/>
            </w:pPr>
            <w:r>
              <w:t>Feb/Mar</w:t>
            </w:r>
          </w:p>
        </w:tc>
      </w:tr>
      <w:tr w:rsidR="004E4AED" w:rsidRPr="0087406F" w14:paraId="56C37993" w14:textId="77777777" w:rsidTr="0018360D">
        <w:trPr>
          <w:trHeight w:val="632"/>
          <w:jc w:val="center"/>
        </w:trPr>
        <w:tc>
          <w:tcPr>
            <w:tcW w:w="3584" w:type="dxa"/>
          </w:tcPr>
          <w:p w14:paraId="76866D9D" w14:textId="77777777" w:rsidR="004E4AED" w:rsidRPr="0087406F" w:rsidRDefault="004E4AED" w:rsidP="00FD2ED3">
            <w:r w:rsidRPr="0087406F">
              <w:t>Sales per day</w:t>
            </w:r>
          </w:p>
          <w:p w14:paraId="1E28130D" w14:textId="77777777" w:rsidR="004E4AED" w:rsidRPr="0087406F" w:rsidRDefault="004E4AED" w:rsidP="00FD2ED3"/>
        </w:tc>
        <w:tc>
          <w:tcPr>
            <w:tcW w:w="842" w:type="dxa"/>
          </w:tcPr>
          <w:p w14:paraId="026FACAC" w14:textId="77777777" w:rsidR="004E4AED" w:rsidRPr="0087406F" w:rsidRDefault="004E4AED" w:rsidP="00FD0A15">
            <w:pPr>
              <w:jc w:val="center"/>
            </w:pPr>
            <w:r w:rsidRPr="0087406F">
              <w:t>£242</w:t>
            </w:r>
          </w:p>
        </w:tc>
        <w:tc>
          <w:tcPr>
            <w:tcW w:w="821" w:type="dxa"/>
          </w:tcPr>
          <w:p w14:paraId="113FF8E3" w14:textId="77777777" w:rsidR="004E4AED" w:rsidRPr="0087406F" w:rsidRDefault="004E4AED" w:rsidP="00632618">
            <w:pPr>
              <w:jc w:val="center"/>
            </w:pPr>
            <w:r w:rsidRPr="0087406F">
              <w:t>£218</w:t>
            </w:r>
          </w:p>
        </w:tc>
        <w:tc>
          <w:tcPr>
            <w:tcW w:w="985" w:type="dxa"/>
          </w:tcPr>
          <w:p w14:paraId="5E3BCAFF" w14:textId="77777777" w:rsidR="004E4AED" w:rsidRPr="0087406F" w:rsidRDefault="004E4AED" w:rsidP="00FD0A15">
            <w:pPr>
              <w:jc w:val="center"/>
              <w:rPr>
                <w:b/>
              </w:rPr>
            </w:pPr>
            <w:r w:rsidRPr="0087406F">
              <w:rPr>
                <w:b/>
                <w:color w:val="ED7D31" w:themeColor="accent2"/>
              </w:rPr>
              <w:t>£240</w:t>
            </w:r>
          </w:p>
        </w:tc>
        <w:tc>
          <w:tcPr>
            <w:tcW w:w="954" w:type="dxa"/>
          </w:tcPr>
          <w:p w14:paraId="36E781C3" w14:textId="77777777" w:rsidR="004E4AED" w:rsidRPr="0087406F" w:rsidRDefault="004E4AED" w:rsidP="00EF71C4">
            <w:pPr>
              <w:jc w:val="center"/>
              <w:rPr>
                <w:b/>
              </w:rPr>
            </w:pPr>
            <w:r w:rsidRPr="0087406F">
              <w:rPr>
                <w:b/>
                <w:color w:val="00B050"/>
              </w:rPr>
              <w:t>£252</w:t>
            </w:r>
          </w:p>
        </w:tc>
        <w:tc>
          <w:tcPr>
            <w:tcW w:w="889" w:type="dxa"/>
          </w:tcPr>
          <w:p w14:paraId="6A69E99B" w14:textId="77777777" w:rsidR="004E4AED" w:rsidRPr="00F9313E" w:rsidRDefault="004E4AED" w:rsidP="00FD0A15">
            <w:pPr>
              <w:jc w:val="center"/>
              <w:rPr>
                <w:b/>
              </w:rPr>
            </w:pPr>
            <w:r w:rsidRPr="00F9313E">
              <w:rPr>
                <w:b/>
                <w:color w:val="00B050"/>
              </w:rPr>
              <w:t>£246</w:t>
            </w:r>
          </w:p>
        </w:tc>
        <w:tc>
          <w:tcPr>
            <w:tcW w:w="1011" w:type="dxa"/>
          </w:tcPr>
          <w:p w14:paraId="7C33E25B" w14:textId="77777777" w:rsidR="004E4AED" w:rsidRPr="00CD35A5" w:rsidRDefault="004E4AED" w:rsidP="00FD0A15">
            <w:pPr>
              <w:jc w:val="center"/>
              <w:rPr>
                <w:b/>
                <w:color w:val="00B050"/>
              </w:rPr>
            </w:pPr>
            <w:r w:rsidRPr="00CD35A5">
              <w:rPr>
                <w:b/>
                <w:color w:val="00B050"/>
              </w:rPr>
              <w:t>£276</w:t>
            </w:r>
          </w:p>
        </w:tc>
        <w:tc>
          <w:tcPr>
            <w:tcW w:w="1011" w:type="dxa"/>
          </w:tcPr>
          <w:p w14:paraId="6D7FB158" w14:textId="77777777" w:rsidR="004E4AED" w:rsidRPr="00CD35A5" w:rsidRDefault="004E4AED" w:rsidP="00FD0A15">
            <w:pPr>
              <w:jc w:val="center"/>
              <w:rPr>
                <w:b/>
                <w:color w:val="00B050"/>
              </w:rPr>
            </w:pPr>
            <w:r>
              <w:rPr>
                <w:b/>
                <w:color w:val="00B050"/>
              </w:rPr>
              <w:t>£271</w:t>
            </w:r>
          </w:p>
        </w:tc>
      </w:tr>
      <w:tr w:rsidR="004E4AED" w:rsidRPr="0087406F" w14:paraId="19962279" w14:textId="77777777" w:rsidTr="0018360D">
        <w:trPr>
          <w:jc w:val="center"/>
        </w:trPr>
        <w:tc>
          <w:tcPr>
            <w:tcW w:w="3584" w:type="dxa"/>
          </w:tcPr>
          <w:p w14:paraId="241BD8F1" w14:textId="77777777" w:rsidR="004E4AED" w:rsidRPr="0087406F" w:rsidRDefault="004E4AED" w:rsidP="00FD2ED3">
            <w:r w:rsidRPr="0087406F">
              <w:t>Margin</w:t>
            </w:r>
          </w:p>
          <w:p w14:paraId="5B5E558A" w14:textId="77777777" w:rsidR="004E4AED" w:rsidRPr="0087406F" w:rsidRDefault="004E4AED" w:rsidP="00FD2ED3"/>
        </w:tc>
        <w:tc>
          <w:tcPr>
            <w:tcW w:w="842" w:type="dxa"/>
          </w:tcPr>
          <w:p w14:paraId="4D046D9E" w14:textId="77777777" w:rsidR="004E4AED" w:rsidRPr="0087406F" w:rsidRDefault="004E4AED" w:rsidP="00FD0A15">
            <w:pPr>
              <w:jc w:val="center"/>
            </w:pPr>
            <w:r w:rsidRPr="0087406F">
              <w:t>30%</w:t>
            </w:r>
          </w:p>
        </w:tc>
        <w:tc>
          <w:tcPr>
            <w:tcW w:w="821" w:type="dxa"/>
          </w:tcPr>
          <w:p w14:paraId="3DEE221C" w14:textId="77777777" w:rsidR="004E4AED" w:rsidRPr="0087406F" w:rsidRDefault="004E4AED" w:rsidP="00632618">
            <w:pPr>
              <w:jc w:val="center"/>
            </w:pPr>
            <w:r w:rsidRPr="0087406F">
              <w:t>27%</w:t>
            </w:r>
          </w:p>
        </w:tc>
        <w:tc>
          <w:tcPr>
            <w:tcW w:w="985" w:type="dxa"/>
          </w:tcPr>
          <w:p w14:paraId="739F7299" w14:textId="77777777" w:rsidR="004E4AED" w:rsidRPr="0087406F" w:rsidRDefault="004E4AED" w:rsidP="00FD0A15">
            <w:pPr>
              <w:jc w:val="center"/>
              <w:rPr>
                <w:b/>
              </w:rPr>
            </w:pPr>
            <w:r w:rsidRPr="0087406F">
              <w:rPr>
                <w:b/>
                <w:color w:val="ED7D31" w:themeColor="accent2"/>
              </w:rPr>
              <w:t>29%</w:t>
            </w:r>
          </w:p>
        </w:tc>
        <w:tc>
          <w:tcPr>
            <w:tcW w:w="954" w:type="dxa"/>
          </w:tcPr>
          <w:p w14:paraId="46FC3D09" w14:textId="77777777" w:rsidR="004E4AED" w:rsidRPr="0087406F" w:rsidRDefault="004E4AED" w:rsidP="00FD0A15">
            <w:pPr>
              <w:jc w:val="center"/>
              <w:rPr>
                <w:b/>
              </w:rPr>
            </w:pPr>
            <w:r w:rsidRPr="0087406F">
              <w:rPr>
                <w:b/>
                <w:color w:val="00B050"/>
              </w:rPr>
              <w:t>32%</w:t>
            </w:r>
          </w:p>
        </w:tc>
        <w:tc>
          <w:tcPr>
            <w:tcW w:w="889" w:type="dxa"/>
          </w:tcPr>
          <w:p w14:paraId="55BE5A02" w14:textId="77777777" w:rsidR="004E4AED" w:rsidRPr="00F9313E" w:rsidRDefault="004E4AED" w:rsidP="00FD0A15">
            <w:pPr>
              <w:jc w:val="center"/>
              <w:rPr>
                <w:b/>
              </w:rPr>
            </w:pPr>
            <w:r w:rsidRPr="00F9313E">
              <w:rPr>
                <w:b/>
                <w:color w:val="00B050"/>
              </w:rPr>
              <w:t>3</w:t>
            </w:r>
            <w:r>
              <w:rPr>
                <w:b/>
                <w:color w:val="00B050"/>
              </w:rPr>
              <w:t>2</w:t>
            </w:r>
            <w:r w:rsidRPr="00F9313E">
              <w:rPr>
                <w:b/>
                <w:color w:val="00B050"/>
              </w:rPr>
              <w:t>%</w:t>
            </w:r>
          </w:p>
        </w:tc>
        <w:tc>
          <w:tcPr>
            <w:tcW w:w="1011" w:type="dxa"/>
          </w:tcPr>
          <w:p w14:paraId="028FF378" w14:textId="77777777" w:rsidR="004E4AED" w:rsidRPr="00CD35A5" w:rsidRDefault="004E4AED" w:rsidP="00FD0A15">
            <w:pPr>
              <w:jc w:val="center"/>
              <w:rPr>
                <w:b/>
                <w:color w:val="00B050"/>
              </w:rPr>
            </w:pPr>
            <w:r w:rsidRPr="00CD35A5">
              <w:rPr>
                <w:b/>
                <w:color w:val="00B050"/>
              </w:rPr>
              <w:t>30%</w:t>
            </w:r>
          </w:p>
        </w:tc>
        <w:tc>
          <w:tcPr>
            <w:tcW w:w="1011" w:type="dxa"/>
          </w:tcPr>
          <w:p w14:paraId="677BF5EB" w14:textId="77777777" w:rsidR="004E4AED" w:rsidRPr="00CD35A5" w:rsidRDefault="004E4AED" w:rsidP="00FD0A15">
            <w:pPr>
              <w:jc w:val="center"/>
              <w:rPr>
                <w:b/>
                <w:color w:val="00B050"/>
              </w:rPr>
            </w:pPr>
            <w:r>
              <w:rPr>
                <w:b/>
                <w:color w:val="00B050"/>
              </w:rPr>
              <w:t>30%</w:t>
            </w:r>
          </w:p>
        </w:tc>
      </w:tr>
      <w:tr w:rsidR="004E4AED" w:rsidRPr="0087406F" w14:paraId="73A6AD44" w14:textId="77777777" w:rsidTr="0018360D">
        <w:trPr>
          <w:jc w:val="center"/>
        </w:trPr>
        <w:tc>
          <w:tcPr>
            <w:tcW w:w="3584" w:type="dxa"/>
          </w:tcPr>
          <w:p w14:paraId="2FB54E3B" w14:textId="77777777" w:rsidR="004E4AED" w:rsidRPr="0087406F" w:rsidRDefault="004E4AED" w:rsidP="00FD2ED3">
            <w:r>
              <w:t xml:space="preserve">Trading </w:t>
            </w:r>
            <w:r w:rsidRPr="0087406F">
              <w:t>Profit</w:t>
            </w:r>
          </w:p>
          <w:p w14:paraId="5986F1D8" w14:textId="77777777" w:rsidR="004E4AED" w:rsidRPr="0087406F" w:rsidRDefault="004E4AED" w:rsidP="00FD2ED3"/>
        </w:tc>
        <w:tc>
          <w:tcPr>
            <w:tcW w:w="842" w:type="dxa"/>
          </w:tcPr>
          <w:p w14:paraId="28F8BF17" w14:textId="77777777" w:rsidR="004E4AED" w:rsidRPr="0087406F" w:rsidRDefault="004E4AED" w:rsidP="00177849">
            <w:pPr>
              <w:jc w:val="center"/>
            </w:pPr>
            <w:r w:rsidRPr="0087406F">
              <w:t>£1874</w:t>
            </w:r>
          </w:p>
        </w:tc>
        <w:tc>
          <w:tcPr>
            <w:tcW w:w="821" w:type="dxa"/>
          </w:tcPr>
          <w:p w14:paraId="69C7A41A" w14:textId="77777777" w:rsidR="004E4AED" w:rsidRPr="0087406F" w:rsidRDefault="004E4AED" w:rsidP="00632618">
            <w:pPr>
              <w:jc w:val="center"/>
            </w:pPr>
            <w:r w:rsidRPr="0087406F">
              <w:t>£2458</w:t>
            </w:r>
          </w:p>
        </w:tc>
        <w:tc>
          <w:tcPr>
            <w:tcW w:w="985" w:type="dxa"/>
          </w:tcPr>
          <w:p w14:paraId="2AEF75FA" w14:textId="77777777" w:rsidR="004E4AED" w:rsidRPr="0087406F" w:rsidRDefault="004E4AED" w:rsidP="008B5A76">
            <w:pPr>
              <w:jc w:val="center"/>
              <w:rPr>
                <w:b/>
              </w:rPr>
            </w:pPr>
            <w:r w:rsidRPr="0087406F">
              <w:rPr>
                <w:b/>
                <w:color w:val="FF0000"/>
              </w:rPr>
              <w:t>£-346</w:t>
            </w:r>
          </w:p>
        </w:tc>
        <w:tc>
          <w:tcPr>
            <w:tcW w:w="954" w:type="dxa"/>
          </w:tcPr>
          <w:p w14:paraId="3F8DCD50" w14:textId="77777777" w:rsidR="004E4AED" w:rsidRPr="0087406F" w:rsidRDefault="004E4AED" w:rsidP="00FD0A15">
            <w:pPr>
              <w:jc w:val="center"/>
              <w:rPr>
                <w:b/>
              </w:rPr>
            </w:pPr>
            <w:r w:rsidRPr="0087406F">
              <w:rPr>
                <w:b/>
                <w:color w:val="00B050"/>
              </w:rPr>
              <w:t>£1742</w:t>
            </w:r>
          </w:p>
        </w:tc>
        <w:tc>
          <w:tcPr>
            <w:tcW w:w="889" w:type="dxa"/>
          </w:tcPr>
          <w:p w14:paraId="3E0A5991" w14:textId="77777777" w:rsidR="004E4AED" w:rsidRPr="00F9313E" w:rsidRDefault="004E4AED" w:rsidP="00FD0A15">
            <w:pPr>
              <w:jc w:val="center"/>
              <w:rPr>
                <w:b/>
              </w:rPr>
            </w:pPr>
            <w:r w:rsidRPr="00F9313E">
              <w:rPr>
                <w:b/>
                <w:color w:val="00B050"/>
              </w:rPr>
              <w:t>£</w:t>
            </w:r>
            <w:r>
              <w:rPr>
                <w:b/>
                <w:color w:val="00B050"/>
              </w:rPr>
              <w:t>2645</w:t>
            </w:r>
          </w:p>
        </w:tc>
        <w:tc>
          <w:tcPr>
            <w:tcW w:w="1011" w:type="dxa"/>
          </w:tcPr>
          <w:p w14:paraId="2E1AF1E8" w14:textId="77777777" w:rsidR="004E4AED" w:rsidRPr="00CD35A5" w:rsidRDefault="004E4AED" w:rsidP="00FD0A15">
            <w:pPr>
              <w:jc w:val="center"/>
              <w:rPr>
                <w:b/>
                <w:color w:val="00B050"/>
              </w:rPr>
            </w:pPr>
            <w:r w:rsidRPr="00CD35A5">
              <w:rPr>
                <w:b/>
                <w:color w:val="00B050"/>
              </w:rPr>
              <w:t>£3</w:t>
            </w:r>
            <w:r w:rsidR="007652D1">
              <w:rPr>
                <w:b/>
                <w:color w:val="00B050"/>
              </w:rPr>
              <w:t>704</w:t>
            </w:r>
          </w:p>
        </w:tc>
        <w:tc>
          <w:tcPr>
            <w:tcW w:w="1011" w:type="dxa"/>
          </w:tcPr>
          <w:p w14:paraId="5ABF3024" w14:textId="77777777" w:rsidR="004E4AED" w:rsidRPr="00CD35A5" w:rsidRDefault="004E4AED" w:rsidP="00FD0A15">
            <w:pPr>
              <w:jc w:val="center"/>
              <w:rPr>
                <w:b/>
                <w:color w:val="00B050"/>
              </w:rPr>
            </w:pPr>
            <w:r>
              <w:rPr>
                <w:b/>
                <w:color w:val="00B050"/>
              </w:rPr>
              <w:t>£40</w:t>
            </w:r>
            <w:r w:rsidR="007652D1">
              <w:rPr>
                <w:b/>
                <w:color w:val="00B050"/>
              </w:rPr>
              <w:t>63</w:t>
            </w:r>
          </w:p>
        </w:tc>
      </w:tr>
      <w:tr w:rsidR="004E4AED" w:rsidRPr="0087406F" w14:paraId="5AB827D0" w14:textId="77777777" w:rsidTr="0018360D">
        <w:trPr>
          <w:jc w:val="center"/>
        </w:trPr>
        <w:tc>
          <w:tcPr>
            <w:tcW w:w="3584" w:type="dxa"/>
          </w:tcPr>
          <w:p w14:paraId="5C5201E3" w14:textId="77777777" w:rsidR="004E4AED" w:rsidRPr="0087406F" w:rsidRDefault="004E4AED" w:rsidP="00FD2ED3">
            <w:r w:rsidRPr="0087406F">
              <w:t xml:space="preserve">Number of Volunteers </w:t>
            </w:r>
          </w:p>
          <w:p w14:paraId="511F48CA" w14:textId="77777777" w:rsidR="004E4AED" w:rsidRPr="0087406F" w:rsidRDefault="004E4AED" w:rsidP="00FD2ED3"/>
        </w:tc>
        <w:tc>
          <w:tcPr>
            <w:tcW w:w="842" w:type="dxa"/>
          </w:tcPr>
          <w:p w14:paraId="383859BB" w14:textId="77777777" w:rsidR="004E4AED" w:rsidRPr="0087406F" w:rsidRDefault="004E4AED" w:rsidP="00FD0A15">
            <w:pPr>
              <w:jc w:val="center"/>
            </w:pPr>
            <w:r w:rsidRPr="0087406F">
              <w:t>50</w:t>
            </w:r>
          </w:p>
        </w:tc>
        <w:tc>
          <w:tcPr>
            <w:tcW w:w="821" w:type="dxa"/>
          </w:tcPr>
          <w:p w14:paraId="64D7276F" w14:textId="77777777" w:rsidR="004E4AED" w:rsidRPr="0087406F" w:rsidRDefault="004E4AED" w:rsidP="00632618">
            <w:pPr>
              <w:jc w:val="center"/>
            </w:pPr>
            <w:r w:rsidRPr="0087406F">
              <w:t>-</w:t>
            </w:r>
          </w:p>
        </w:tc>
        <w:tc>
          <w:tcPr>
            <w:tcW w:w="985" w:type="dxa"/>
          </w:tcPr>
          <w:p w14:paraId="2D10B89F" w14:textId="77777777" w:rsidR="004E4AED" w:rsidRPr="0087406F" w:rsidRDefault="004E4AED" w:rsidP="00FD0A15">
            <w:pPr>
              <w:jc w:val="center"/>
              <w:rPr>
                <w:b/>
              </w:rPr>
            </w:pPr>
            <w:r w:rsidRPr="0087406F">
              <w:rPr>
                <w:b/>
              </w:rPr>
              <w:t>-</w:t>
            </w:r>
          </w:p>
        </w:tc>
        <w:tc>
          <w:tcPr>
            <w:tcW w:w="954" w:type="dxa"/>
          </w:tcPr>
          <w:p w14:paraId="758789CB" w14:textId="77777777" w:rsidR="004E4AED" w:rsidRPr="0087406F" w:rsidRDefault="004E4AED" w:rsidP="00FD0A15">
            <w:pPr>
              <w:jc w:val="center"/>
              <w:rPr>
                <w:b/>
              </w:rPr>
            </w:pPr>
            <w:r>
              <w:rPr>
                <w:b/>
                <w:color w:val="FFC000"/>
              </w:rPr>
              <w:t>45</w:t>
            </w:r>
          </w:p>
        </w:tc>
        <w:tc>
          <w:tcPr>
            <w:tcW w:w="889" w:type="dxa"/>
          </w:tcPr>
          <w:p w14:paraId="6BBE2F5F" w14:textId="77777777" w:rsidR="004E4AED" w:rsidRPr="003B0C58" w:rsidRDefault="004E4AED" w:rsidP="00FD0A15">
            <w:pPr>
              <w:jc w:val="center"/>
              <w:rPr>
                <w:b/>
              </w:rPr>
            </w:pPr>
            <w:r>
              <w:rPr>
                <w:b/>
                <w:color w:val="FFC000" w:themeColor="accent4"/>
              </w:rPr>
              <w:t>47</w:t>
            </w:r>
          </w:p>
        </w:tc>
        <w:tc>
          <w:tcPr>
            <w:tcW w:w="1011" w:type="dxa"/>
          </w:tcPr>
          <w:p w14:paraId="7A2C4ED0" w14:textId="77777777" w:rsidR="004E4AED" w:rsidRPr="004E4AED" w:rsidRDefault="004E4AED" w:rsidP="00FD0A15">
            <w:pPr>
              <w:jc w:val="center"/>
              <w:rPr>
                <w:b/>
                <w:color w:val="00B050"/>
              </w:rPr>
            </w:pPr>
            <w:r w:rsidRPr="004E4AED">
              <w:rPr>
                <w:b/>
                <w:color w:val="00B050"/>
              </w:rPr>
              <w:t>55</w:t>
            </w:r>
          </w:p>
        </w:tc>
        <w:tc>
          <w:tcPr>
            <w:tcW w:w="1011" w:type="dxa"/>
          </w:tcPr>
          <w:p w14:paraId="10D872C8" w14:textId="77777777" w:rsidR="004E4AED" w:rsidRPr="004E4AED" w:rsidRDefault="004E4AED" w:rsidP="00FD0A15">
            <w:pPr>
              <w:jc w:val="center"/>
              <w:rPr>
                <w:b/>
                <w:color w:val="00B050"/>
              </w:rPr>
            </w:pPr>
            <w:r w:rsidRPr="004E4AED">
              <w:rPr>
                <w:b/>
                <w:color w:val="00B050"/>
              </w:rPr>
              <w:t>55</w:t>
            </w:r>
          </w:p>
        </w:tc>
      </w:tr>
      <w:tr w:rsidR="004E4AED" w:rsidRPr="0087406F" w14:paraId="67F9026F" w14:textId="77777777" w:rsidTr="0018360D">
        <w:trPr>
          <w:jc w:val="center"/>
        </w:trPr>
        <w:tc>
          <w:tcPr>
            <w:tcW w:w="3584" w:type="dxa"/>
          </w:tcPr>
          <w:p w14:paraId="65DC4980" w14:textId="77777777" w:rsidR="004E4AED" w:rsidRDefault="004E4AED" w:rsidP="00FD2ED3">
            <w:r>
              <w:t>Current Assets (less liabilities)</w:t>
            </w:r>
          </w:p>
          <w:p w14:paraId="4EFCA5C4" w14:textId="77777777" w:rsidR="004E4AED" w:rsidRDefault="004E4AED" w:rsidP="00FD2ED3"/>
        </w:tc>
        <w:tc>
          <w:tcPr>
            <w:tcW w:w="842" w:type="dxa"/>
          </w:tcPr>
          <w:p w14:paraId="4D702A1E" w14:textId="77777777" w:rsidR="004E4AED" w:rsidRDefault="004E4AED" w:rsidP="00FD0A15">
            <w:pPr>
              <w:jc w:val="center"/>
            </w:pPr>
            <w:r>
              <w:t>£6500</w:t>
            </w:r>
          </w:p>
        </w:tc>
        <w:tc>
          <w:tcPr>
            <w:tcW w:w="821" w:type="dxa"/>
          </w:tcPr>
          <w:p w14:paraId="630C9989" w14:textId="77777777" w:rsidR="004E4AED" w:rsidRDefault="004E4AED" w:rsidP="00632618">
            <w:pPr>
              <w:jc w:val="center"/>
            </w:pPr>
            <w:r>
              <w:t>£5676</w:t>
            </w:r>
          </w:p>
        </w:tc>
        <w:tc>
          <w:tcPr>
            <w:tcW w:w="985" w:type="dxa"/>
          </w:tcPr>
          <w:p w14:paraId="756B1866" w14:textId="77777777" w:rsidR="004E4AED" w:rsidRPr="0011539A" w:rsidRDefault="004E4AED" w:rsidP="00FD0A15">
            <w:pPr>
              <w:jc w:val="center"/>
              <w:rPr>
                <w:color w:val="FF0000"/>
              </w:rPr>
            </w:pPr>
            <w:r>
              <w:rPr>
                <w:color w:val="FF0000"/>
              </w:rPr>
              <w:t>£3694</w:t>
            </w:r>
          </w:p>
        </w:tc>
        <w:tc>
          <w:tcPr>
            <w:tcW w:w="954" w:type="dxa"/>
          </w:tcPr>
          <w:p w14:paraId="2893F605" w14:textId="77777777" w:rsidR="004E4AED" w:rsidRPr="0011539A" w:rsidRDefault="004E4AED" w:rsidP="00FD0A15">
            <w:pPr>
              <w:jc w:val="center"/>
              <w:rPr>
                <w:b/>
                <w:color w:val="00B050"/>
              </w:rPr>
            </w:pPr>
            <w:r w:rsidRPr="00B405C0">
              <w:rPr>
                <w:b/>
                <w:color w:val="FFC000"/>
              </w:rPr>
              <w:t>£6037</w:t>
            </w:r>
          </w:p>
        </w:tc>
        <w:tc>
          <w:tcPr>
            <w:tcW w:w="889" w:type="dxa"/>
          </w:tcPr>
          <w:p w14:paraId="4F51E61F" w14:textId="77777777" w:rsidR="004E4AED" w:rsidRPr="00B405C0" w:rsidRDefault="004E4AED" w:rsidP="00FD0A15">
            <w:pPr>
              <w:jc w:val="center"/>
              <w:rPr>
                <w:b/>
                <w:color w:val="00B050"/>
              </w:rPr>
            </w:pPr>
            <w:r>
              <w:rPr>
                <w:b/>
                <w:color w:val="00B050"/>
              </w:rPr>
              <w:t>£7679</w:t>
            </w:r>
          </w:p>
        </w:tc>
        <w:tc>
          <w:tcPr>
            <w:tcW w:w="1011" w:type="dxa"/>
          </w:tcPr>
          <w:p w14:paraId="13F617F8" w14:textId="77777777" w:rsidR="004E4AED" w:rsidRPr="00476C47" w:rsidRDefault="004E4AED" w:rsidP="00FD0A15">
            <w:pPr>
              <w:jc w:val="center"/>
              <w:rPr>
                <w:b/>
              </w:rPr>
            </w:pPr>
            <w:r w:rsidRPr="00476C47">
              <w:rPr>
                <w:b/>
                <w:color w:val="00B050"/>
              </w:rPr>
              <w:t>£</w:t>
            </w:r>
            <w:r w:rsidR="00095A4F">
              <w:rPr>
                <w:b/>
                <w:color w:val="00B050"/>
              </w:rPr>
              <w:t>9</w:t>
            </w:r>
            <w:r w:rsidR="00824A32">
              <w:rPr>
                <w:b/>
                <w:color w:val="00B050"/>
              </w:rPr>
              <w:t>1</w:t>
            </w:r>
            <w:r w:rsidR="003E201D">
              <w:rPr>
                <w:b/>
                <w:color w:val="00B050"/>
              </w:rPr>
              <w:t>62</w:t>
            </w:r>
          </w:p>
        </w:tc>
        <w:tc>
          <w:tcPr>
            <w:tcW w:w="1011" w:type="dxa"/>
          </w:tcPr>
          <w:p w14:paraId="63023D5D" w14:textId="77777777" w:rsidR="004E4AED" w:rsidRPr="00476C47" w:rsidRDefault="004E4AED" w:rsidP="00FD0A15">
            <w:pPr>
              <w:jc w:val="center"/>
              <w:rPr>
                <w:b/>
                <w:color w:val="00B050"/>
              </w:rPr>
            </w:pPr>
            <w:r w:rsidRPr="00095A4F">
              <w:rPr>
                <w:b/>
                <w:color w:val="00B050"/>
              </w:rPr>
              <w:t>£</w:t>
            </w:r>
            <w:r w:rsidR="00095A4F" w:rsidRPr="00095A4F">
              <w:rPr>
                <w:b/>
                <w:color w:val="00B050"/>
              </w:rPr>
              <w:t>6</w:t>
            </w:r>
            <w:r w:rsidR="00824A32">
              <w:rPr>
                <w:b/>
                <w:color w:val="00B050"/>
              </w:rPr>
              <w:t>6</w:t>
            </w:r>
            <w:r w:rsidR="003E201D">
              <w:rPr>
                <w:b/>
                <w:color w:val="00B050"/>
              </w:rPr>
              <w:t>33</w:t>
            </w:r>
          </w:p>
        </w:tc>
      </w:tr>
      <w:tr w:rsidR="004E4AED" w:rsidRPr="0087406F" w14:paraId="0E5F21C4" w14:textId="77777777" w:rsidTr="0018360D">
        <w:trPr>
          <w:jc w:val="center"/>
        </w:trPr>
        <w:tc>
          <w:tcPr>
            <w:tcW w:w="3584" w:type="dxa"/>
          </w:tcPr>
          <w:p w14:paraId="56DF3A82" w14:textId="77777777" w:rsidR="004E4AED" w:rsidRDefault="004E4AED" w:rsidP="00FD2ED3">
            <w:r>
              <w:t>Total Assets (less liabilities</w:t>
            </w:r>
            <w:r w:rsidR="00EE1AA4">
              <w:t>)</w:t>
            </w:r>
          </w:p>
          <w:p w14:paraId="4CD4736E" w14:textId="77777777" w:rsidR="004E4AED" w:rsidRPr="0087406F" w:rsidRDefault="004E4AED" w:rsidP="00FD2ED3"/>
        </w:tc>
        <w:tc>
          <w:tcPr>
            <w:tcW w:w="842" w:type="dxa"/>
          </w:tcPr>
          <w:p w14:paraId="0D5D1383" w14:textId="77777777" w:rsidR="004E4AED" w:rsidRPr="0087406F" w:rsidRDefault="004E4AED" w:rsidP="00FD0A15">
            <w:pPr>
              <w:jc w:val="center"/>
            </w:pPr>
            <w:r>
              <w:t>£7500</w:t>
            </w:r>
          </w:p>
        </w:tc>
        <w:tc>
          <w:tcPr>
            <w:tcW w:w="821" w:type="dxa"/>
          </w:tcPr>
          <w:p w14:paraId="46C2462E" w14:textId="77777777" w:rsidR="004E4AED" w:rsidRPr="0087406F" w:rsidRDefault="004E4AED" w:rsidP="00632618">
            <w:pPr>
              <w:jc w:val="center"/>
            </w:pPr>
            <w:r>
              <w:t>£6792</w:t>
            </w:r>
          </w:p>
        </w:tc>
        <w:tc>
          <w:tcPr>
            <w:tcW w:w="985" w:type="dxa"/>
          </w:tcPr>
          <w:p w14:paraId="260B3864" w14:textId="77777777" w:rsidR="004E4AED" w:rsidRPr="0011539A" w:rsidRDefault="004E4AED" w:rsidP="00FD0A15">
            <w:pPr>
              <w:jc w:val="center"/>
            </w:pPr>
            <w:r w:rsidRPr="0011539A">
              <w:rPr>
                <w:color w:val="FF0000"/>
              </w:rPr>
              <w:t>£6446</w:t>
            </w:r>
          </w:p>
        </w:tc>
        <w:tc>
          <w:tcPr>
            <w:tcW w:w="954" w:type="dxa"/>
          </w:tcPr>
          <w:p w14:paraId="177F1A77" w14:textId="77777777" w:rsidR="004E4AED" w:rsidRPr="0087406F" w:rsidRDefault="004E4AED" w:rsidP="00FD0A15">
            <w:pPr>
              <w:jc w:val="center"/>
              <w:rPr>
                <w:b/>
                <w:color w:val="ED7D31" w:themeColor="accent2"/>
              </w:rPr>
            </w:pPr>
            <w:r w:rsidRPr="0011539A">
              <w:rPr>
                <w:b/>
                <w:color w:val="00B050"/>
              </w:rPr>
              <w:t>£9104</w:t>
            </w:r>
          </w:p>
        </w:tc>
        <w:tc>
          <w:tcPr>
            <w:tcW w:w="889" w:type="dxa"/>
          </w:tcPr>
          <w:p w14:paraId="0226FB4F" w14:textId="77777777" w:rsidR="004E4AED" w:rsidRPr="00B405C0" w:rsidRDefault="004E4AED" w:rsidP="00FD0A15">
            <w:pPr>
              <w:jc w:val="center"/>
              <w:rPr>
                <w:b/>
              </w:rPr>
            </w:pPr>
            <w:r w:rsidRPr="00B405C0">
              <w:rPr>
                <w:b/>
                <w:color w:val="00B050"/>
              </w:rPr>
              <w:t>£10927</w:t>
            </w:r>
          </w:p>
        </w:tc>
        <w:tc>
          <w:tcPr>
            <w:tcW w:w="1011" w:type="dxa"/>
          </w:tcPr>
          <w:p w14:paraId="2C83C265" w14:textId="77777777" w:rsidR="004E4AED" w:rsidRPr="00476C47" w:rsidRDefault="004E4AED" w:rsidP="00FD0A15">
            <w:pPr>
              <w:jc w:val="center"/>
              <w:rPr>
                <w:b/>
              </w:rPr>
            </w:pPr>
            <w:r w:rsidRPr="00C24B17">
              <w:rPr>
                <w:b/>
                <w:color w:val="00B050"/>
              </w:rPr>
              <w:t>£7</w:t>
            </w:r>
            <w:r>
              <w:rPr>
                <w:b/>
                <w:color w:val="00B050"/>
              </w:rPr>
              <w:t>5</w:t>
            </w:r>
            <w:r w:rsidR="003E201D">
              <w:rPr>
                <w:b/>
                <w:color w:val="00B050"/>
              </w:rPr>
              <w:t>39</w:t>
            </w:r>
          </w:p>
        </w:tc>
        <w:tc>
          <w:tcPr>
            <w:tcW w:w="1011" w:type="dxa"/>
          </w:tcPr>
          <w:p w14:paraId="55C5551D" w14:textId="77777777" w:rsidR="004E4AED" w:rsidRPr="00C24B17" w:rsidRDefault="004E4AED" w:rsidP="00FD0A15">
            <w:pPr>
              <w:jc w:val="center"/>
              <w:rPr>
                <w:b/>
                <w:color w:val="00B050"/>
              </w:rPr>
            </w:pPr>
            <w:r>
              <w:rPr>
                <w:b/>
                <w:color w:val="00B050"/>
              </w:rPr>
              <w:t>£78</w:t>
            </w:r>
            <w:r w:rsidR="003E201D">
              <w:rPr>
                <w:b/>
                <w:color w:val="00B050"/>
              </w:rPr>
              <w:t>98</w:t>
            </w:r>
          </w:p>
        </w:tc>
      </w:tr>
      <w:tr w:rsidR="004E4AED" w:rsidRPr="0087406F" w14:paraId="5398CB50" w14:textId="77777777" w:rsidTr="0018360D">
        <w:trPr>
          <w:jc w:val="center"/>
        </w:trPr>
        <w:tc>
          <w:tcPr>
            <w:tcW w:w="3584" w:type="dxa"/>
          </w:tcPr>
          <w:p w14:paraId="729F02B7" w14:textId="77777777" w:rsidR="004E4AED" w:rsidRPr="0087406F" w:rsidRDefault="004E4AED" w:rsidP="00FD2ED3">
            <w:r w:rsidRPr="0087406F">
              <w:t>No of Products held</w:t>
            </w:r>
          </w:p>
          <w:p w14:paraId="59380E41" w14:textId="77777777" w:rsidR="004E4AED" w:rsidRPr="0087406F" w:rsidRDefault="004E4AED" w:rsidP="00FD2ED3"/>
        </w:tc>
        <w:tc>
          <w:tcPr>
            <w:tcW w:w="842" w:type="dxa"/>
          </w:tcPr>
          <w:p w14:paraId="5687C37B" w14:textId="77777777" w:rsidR="004E4AED" w:rsidRPr="0087406F" w:rsidRDefault="004E4AED" w:rsidP="00FD0A15">
            <w:pPr>
              <w:jc w:val="center"/>
            </w:pPr>
            <w:r w:rsidRPr="0087406F">
              <w:t>350</w:t>
            </w:r>
          </w:p>
        </w:tc>
        <w:tc>
          <w:tcPr>
            <w:tcW w:w="821" w:type="dxa"/>
          </w:tcPr>
          <w:p w14:paraId="316326CB" w14:textId="77777777" w:rsidR="004E4AED" w:rsidRPr="0087406F" w:rsidRDefault="004E4AED" w:rsidP="00632618">
            <w:pPr>
              <w:jc w:val="center"/>
            </w:pPr>
            <w:r>
              <w:t>280</w:t>
            </w:r>
          </w:p>
        </w:tc>
        <w:tc>
          <w:tcPr>
            <w:tcW w:w="985" w:type="dxa"/>
          </w:tcPr>
          <w:p w14:paraId="43D3FCCF" w14:textId="77777777" w:rsidR="004E4AED" w:rsidRPr="0087406F" w:rsidRDefault="004E4AED" w:rsidP="00FD0A15">
            <w:pPr>
              <w:jc w:val="center"/>
              <w:rPr>
                <w:b/>
                <w:color w:val="00B050"/>
              </w:rPr>
            </w:pPr>
            <w:r>
              <w:rPr>
                <w:b/>
                <w:color w:val="00B050"/>
              </w:rPr>
              <w:t>349</w:t>
            </w:r>
          </w:p>
        </w:tc>
        <w:tc>
          <w:tcPr>
            <w:tcW w:w="954" w:type="dxa"/>
          </w:tcPr>
          <w:p w14:paraId="36965A7B" w14:textId="77777777" w:rsidR="004E4AED" w:rsidRPr="0087406F" w:rsidRDefault="004E4AED" w:rsidP="00FD0A15">
            <w:pPr>
              <w:jc w:val="center"/>
              <w:rPr>
                <w:b/>
                <w:color w:val="00B050"/>
              </w:rPr>
            </w:pPr>
            <w:r>
              <w:rPr>
                <w:b/>
                <w:color w:val="00B050"/>
              </w:rPr>
              <w:t>378</w:t>
            </w:r>
          </w:p>
        </w:tc>
        <w:tc>
          <w:tcPr>
            <w:tcW w:w="889" w:type="dxa"/>
          </w:tcPr>
          <w:p w14:paraId="4119ECE3" w14:textId="77777777" w:rsidR="004E4AED" w:rsidRPr="003B0C58" w:rsidRDefault="004E4AED" w:rsidP="00FD0A15">
            <w:pPr>
              <w:jc w:val="center"/>
              <w:rPr>
                <w:b/>
              </w:rPr>
            </w:pPr>
            <w:r w:rsidRPr="003B0C58">
              <w:rPr>
                <w:b/>
                <w:color w:val="00B050"/>
              </w:rPr>
              <w:t>520</w:t>
            </w:r>
          </w:p>
        </w:tc>
        <w:tc>
          <w:tcPr>
            <w:tcW w:w="1011" w:type="dxa"/>
          </w:tcPr>
          <w:p w14:paraId="1AA18FE4" w14:textId="77777777" w:rsidR="004E4AED" w:rsidRPr="00CD35A5" w:rsidRDefault="004E4AED" w:rsidP="00FD0A15">
            <w:pPr>
              <w:jc w:val="center"/>
              <w:rPr>
                <w:b/>
              </w:rPr>
            </w:pPr>
            <w:r w:rsidRPr="00CD35A5">
              <w:rPr>
                <w:b/>
                <w:color w:val="00B050"/>
              </w:rPr>
              <w:t>615</w:t>
            </w:r>
          </w:p>
        </w:tc>
        <w:tc>
          <w:tcPr>
            <w:tcW w:w="1011" w:type="dxa"/>
          </w:tcPr>
          <w:p w14:paraId="4319E5FC" w14:textId="77777777" w:rsidR="004E4AED" w:rsidRPr="00CD35A5" w:rsidRDefault="004E4AED" w:rsidP="00FD0A15">
            <w:pPr>
              <w:jc w:val="center"/>
              <w:rPr>
                <w:b/>
                <w:color w:val="00B050"/>
              </w:rPr>
            </w:pPr>
            <w:r>
              <w:rPr>
                <w:b/>
                <w:color w:val="00B050"/>
              </w:rPr>
              <w:t>615</w:t>
            </w:r>
          </w:p>
        </w:tc>
      </w:tr>
      <w:tr w:rsidR="004E4AED" w:rsidRPr="0087406F" w14:paraId="3AC6A931" w14:textId="77777777" w:rsidTr="0018360D">
        <w:trPr>
          <w:jc w:val="center"/>
        </w:trPr>
        <w:tc>
          <w:tcPr>
            <w:tcW w:w="3584" w:type="dxa"/>
          </w:tcPr>
          <w:p w14:paraId="27BCA2F1" w14:textId="77777777" w:rsidR="004E4AED" w:rsidRPr="00C24B17" w:rsidRDefault="004E4AED" w:rsidP="00FD2ED3">
            <w:r w:rsidRPr="00C24B17">
              <w:t>No of local Suppliers</w:t>
            </w:r>
          </w:p>
          <w:p w14:paraId="0AC3BA17" w14:textId="77777777" w:rsidR="004E4AED" w:rsidRPr="00C24B17" w:rsidRDefault="004E4AED" w:rsidP="00FD2ED3"/>
        </w:tc>
        <w:tc>
          <w:tcPr>
            <w:tcW w:w="842" w:type="dxa"/>
          </w:tcPr>
          <w:p w14:paraId="11C6C339" w14:textId="77777777" w:rsidR="004E4AED" w:rsidRPr="00C24B17" w:rsidRDefault="004E4AED" w:rsidP="00FD0A15">
            <w:pPr>
              <w:jc w:val="center"/>
            </w:pPr>
            <w:r w:rsidRPr="00C24B17">
              <w:t>30</w:t>
            </w:r>
          </w:p>
        </w:tc>
        <w:tc>
          <w:tcPr>
            <w:tcW w:w="821" w:type="dxa"/>
          </w:tcPr>
          <w:p w14:paraId="113C2465" w14:textId="77777777" w:rsidR="004E4AED" w:rsidRPr="00C24B17" w:rsidRDefault="004E4AED" w:rsidP="00632618">
            <w:pPr>
              <w:jc w:val="center"/>
            </w:pPr>
            <w:r w:rsidRPr="00C24B17">
              <w:t>17</w:t>
            </w:r>
          </w:p>
        </w:tc>
        <w:tc>
          <w:tcPr>
            <w:tcW w:w="985" w:type="dxa"/>
          </w:tcPr>
          <w:p w14:paraId="4B4D037E" w14:textId="77777777" w:rsidR="004E4AED" w:rsidRPr="00C24B17" w:rsidRDefault="004E4AED" w:rsidP="00FD0A15">
            <w:pPr>
              <w:jc w:val="center"/>
              <w:rPr>
                <w:b/>
                <w:color w:val="00B050"/>
              </w:rPr>
            </w:pPr>
            <w:r w:rsidRPr="00C24B17">
              <w:rPr>
                <w:b/>
                <w:color w:val="00B050"/>
              </w:rPr>
              <w:t>22</w:t>
            </w:r>
          </w:p>
        </w:tc>
        <w:tc>
          <w:tcPr>
            <w:tcW w:w="954" w:type="dxa"/>
          </w:tcPr>
          <w:p w14:paraId="648BD994" w14:textId="77777777" w:rsidR="004E4AED" w:rsidRPr="00C24B17" w:rsidRDefault="004E4AED" w:rsidP="00FD0A15">
            <w:pPr>
              <w:jc w:val="center"/>
              <w:rPr>
                <w:b/>
                <w:color w:val="00B050"/>
              </w:rPr>
            </w:pPr>
            <w:r w:rsidRPr="00C24B17">
              <w:rPr>
                <w:b/>
                <w:color w:val="00B050"/>
              </w:rPr>
              <w:t>27</w:t>
            </w:r>
          </w:p>
        </w:tc>
        <w:tc>
          <w:tcPr>
            <w:tcW w:w="889" w:type="dxa"/>
          </w:tcPr>
          <w:p w14:paraId="6426F6AE" w14:textId="77777777" w:rsidR="004E4AED" w:rsidRPr="00C24B17" w:rsidRDefault="004E4AED" w:rsidP="00FD0A15">
            <w:pPr>
              <w:jc w:val="center"/>
              <w:rPr>
                <w:b/>
              </w:rPr>
            </w:pPr>
            <w:r w:rsidRPr="00C24B17">
              <w:rPr>
                <w:b/>
                <w:color w:val="00B050"/>
              </w:rPr>
              <w:t>28</w:t>
            </w:r>
          </w:p>
        </w:tc>
        <w:tc>
          <w:tcPr>
            <w:tcW w:w="1011" w:type="dxa"/>
          </w:tcPr>
          <w:p w14:paraId="45D24AFA" w14:textId="77777777" w:rsidR="004E4AED" w:rsidRPr="00F20A47" w:rsidRDefault="004E4AED" w:rsidP="00FD0A15">
            <w:pPr>
              <w:jc w:val="center"/>
              <w:rPr>
                <w:b/>
              </w:rPr>
            </w:pPr>
            <w:r w:rsidRPr="00C24B17">
              <w:rPr>
                <w:b/>
                <w:color w:val="00B050"/>
              </w:rPr>
              <w:t>30</w:t>
            </w:r>
          </w:p>
        </w:tc>
        <w:tc>
          <w:tcPr>
            <w:tcW w:w="1011" w:type="dxa"/>
          </w:tcPr>
          <w:p w14:paraId="2F932386" w14:textId="77777777" w:rsidR="004E4AED" w:rsidRPr="00C24B17" w:rsidRDefault="004E4AED" w:rsidP="00FD0A15">
            <w:pPr>
              <w:jc w:val="center"/>
              <w:rPr>
                <w:b/>
                <w:color w:val="00B050"/>
              </w:rPr>
            </w:pPr>
            <w:r>
              <w:rPr>
                <w:b/>
                <w:color w:val="00B050"/>
              </w:rPr>
              <w:t>30</w:t>
            </w:r>
          </w:p>
        </w:tc>
      </w:tr>
      <w:tr w:rsidR="004E4AED" w:rsidRPr="0087406F" w14:paraId="08F2565A" w14:textId="77777777" w:rsidTr="0018360D">
        <w:trPr>
          <w:jc w:val="center"/>
        </w:trPr>
        <w:tc>
          <w:tcPr>
            <w:tcW w:w="3584" w:type="dxa"/>
          </w:tcPr>
          <w:p w14:paraId="72558AA6" w14:textId="77777777" w:rsidR="004E4AED" w:rsidRPr="0087406F" w:rsidRDefault="004E4AED" w:rsidP="00FD2ED3">
            <w:r w:rsidRPr="0087406F">
              <w:t>No of visitors per week</w:t>
            </w:r>
          </w:p>
          <w:p w14:paraId="56B4F7F1" w14:textId="77777777" w:rsidR="004E4AED" w:rsidRPr="0087406F" w:rsidRDefault="004E4AED" w:rsidP="00FD2ED3"/>
        </w:tc>
        <w:tc>
          <w:tcPr>
            <w:tcW w:w="842" w:type="dxa"/>
          </w:tcPr>
          <w:p w14:paraId="7798B948" w14:textId="77777777" w:rsidR="004E4AED" w:rsidRPr="0087406F" w:rsidRDefault="004E4AED" w:rsidP="00FD0A15">
            <w:pPr>
              <w:jc w:val="center"/>
            </w:pPr>
            <w:r w:rsidRPr="0087406F">
              <w:t>250</w:t>
            </w:r>
          </w:p>
        </w:tc>
        <w:tc>
          <w:tcPr>
            <w:tcW w:w="821" w:type="dxa"/>
          </w:tcPr>
          <w:p w14:paraId="3908EC1A" w14:textId="77777777" w:rsidR="004E4AED" w:rsidRPr="0087406F" w:rsidRDefault="004E4AED" w:rsidP="00632618">
            <w:pPr>
              <w:jc w:val="center"/>
            </w:pPr>
            <w:r w:rsidRPr="0087406F">
              <w:t>Not known</w:t>
            </w:r>
          </w:p>
        </w:tc>
        <w:tc>
          <w:tcPr>
            <w:tcW w:w="985" w:type="dxa"/>
          </w:tcPr>
          <w:p w14:paraId="26567F7B" w14:textId="77777777" w:rsidR="004E4AED" w:rsidRPr="0087406F" w:rsidRDefault="004E4AED" w:rsidP="00FD0A15">
            <w:pPr>
              <w:jc w:val="center"/>
            </w:pPr>
            <w:r w:rsidRPr="0087406F">
              <w:t>Not Known</w:t>
            </w:r>
          </w:p>
        </w:tc>
        <w:tc>
          <w:tcPr>
            <w:tcW w:w="954" w:type="dxa"/>
          </w:tcPr>
          <w:p w14:paraId="5F6569F3" w14:textId="77777777" w:rsidR="004E4AED" w:rsidRPr="0087406F" w:rsidRDefault="004E4AED" w:rsidP="00177849">
            <w:pPr>
              <w:jc w:val="center"/>
              <w:rPr>
                <w:b/>
              </w:rPr>
            </w:pPr>
            <w:r w:rsidRPr="0087406F">
              <w:rPr>
                <w:b/>
                <w:color w:val="00B050"/>
              </w:rPr>
              <w:t>266</w:t>
            </w:r>
          </w:p>
        </w:tc>
        <w:tc>
          <w:tcPr>
            <w:tcW w:w="889" w:type="dxa"/>
          </w:tcPr>
          <w:p w14:paraId="509E6811" w14:textId="77777777" w:rsidR="004E4AED" w:rsidRPr="003B0C58" w:rsidRDefault="004E4AED" w:rsidP="00FD0A15">
            <w:pPr>
              <w:jc w:val="center"/>
              <w:rPr>
                <w:b/>
              </w:rPr>
            </w:pPr>
            <w:r w:rsidRPr="003B0C58">
              <w:rPr>
                <w:b/>
                <w:color w:val="FFC000"/>
              </w:rPr>
              <w:t>240</w:t>
            </w:r>
          </w:p>
        </w:tc>
        <w:tc>
          <w:tcPr>
            <w:tcW w:w="1011" w:type="dxa"/>
          </w:tcPr>
          <w:p w14:paraId="680B3761" w14:textId="77777777" w:rsidR="004E4AED" w:rsidRPr="00CD35A5" w:rsidRDefault="004E4AED" w:rsidP="00FD0A15">
            <w:pPr>
              <w:jc w:val="center"/>
              <w:rPr>
                <w:b/>
              </w:rPr>
            </w:pPr>
            <w:r w:rsidRPr="00CD35A5">
              <w:rPr>
                <w:b/>
                <w:color w:val="00B050"/>
              </w:rPr>
              <w:t>280</w:t>
            </w:r>
          </w:p>
        </w:tc>
        <w:tc>
          <w:tcPr>
            <w:tcW w:w="1011" w:type="dxa"/>
          </w:tcPr>
          <w:p w14:paraId="115870F6" w14:textId="77777777" w:rsidR="004E4AED" w:rsidRPr="00CD35A5" w:rsidRDefault="004E4AED" w:rsidP="00FD0A15">
            <w:pPr>
              <w:jc w:val="center"/>
              <w:rPr>
                <w:b/>
                <w:color w:val="00B050"/>
              </w:rPr>
            </w:pPr>
            <w:r>
              <w:rPr>
                <w:b/>
                <w:color w:val="00B050"/>
              </w:rPr>
              <w:t>-</w:t>
            </w:r>
          </w:p>
        </w:tc>
      </w:tr>
      <w:tr w:rsidR="004E4AED" w:rsidRPr="0087406F" w14:paraId="5172747F" w14:textId="77777777" w:rsidTr="0018360D">
        <w:trPr>
          <w:jc w:val="center"/>
        </w:trPr>
        <w:tc>
          <w:tcPr>
            <w:tcW w:w="3584" w:type="dxa"/>
          </w:tcPr>
          <w:p w14:paraId="53E76B06" w14:textId="77777777" w:rsidR="004E4AED" w:rsidRDefault="004E4AED" w:rsidP="00FD2ED3">
            <w:r w:rsidRPr="0087406F">
              <w:t>No of hits on the website per month</w:t>
            </w:r>
          </w:p>
          <w:p w14:paraId="7001A516" w14:textId="77777777" w:rsidR="004E4AED" w:rsidRPr="0087406F" w:rsidRDefault="004E4AED" w:rsidP="00FD2ED3"/>
        </w:tc>
        <w:tc>
          <w:tcPr>
            <w:tcW w:w="842" w:type="dxa"/>
          </w:tcPr>
          <w:p w14:paraId="0A272A04" w14:textId="77777777" w:rsidR="004E4AED" w:rsidRPr="0087406F" w:rsidRDefault="004E4AED" w:rsidP="00315D91">
            <w:pPr>
              <w:jc w:val="center"/>
            </w:pPr>
            <w:r w:rsidRPr="0087406F">
              <w:t>100</w:t>
            </w:r>
          </w:p>
        </w:tc>
        <w:tc>
          <w:tcPr>
            <w:tcW w:w="821" w:type="dxa"/>
          </w:tcPr>
          <w:p w14:paraId="1B839A05" w14:textId="77777777" w:rsidR="004E4AED" w:rsidRPr="0087406F" w:rsidRDefault="004E4AED" w:rsidP="00632618">
            <w:pPr>
              <w:jc w:val="center"/>
            </w:pPr>
            <w:r w:rsidRPr="0087406F">
              <w:t>-</w:t>
            </w:r>
          </w:p>
        </w:tc>
        <w:tc>
          <w:tcPr>
            <w:tcW w:w="985" w:type="dxa"/>
          </w:tcPr>
          <w:p w14:paraId="22B87EFF" w14:textId="77777777" w:rsidR="004E4AED" w:rsidRPr="0087406F" w:rsidRDefault="004E4AED" w:rsidP="00FD0A15">
            <w:pPr>
              <w:jc w:val="center"/>
              <w:rPr>
                <w:b/>
              </w:rPr>
            </w:pPr>
            <w:r w:rsidRPr="0087406F">
              <w:rPr>
                <w:b/>
              </w:rPr>
              <w:t>-</w:t>
            </w:r>
          </w:p>
        </w:tc>
        <w:tc>
          <w:tcPr>
            <w:tcW w:w="954" w:type="dxa"/>
          </w:tcPr>
          <w:p w14:paraId="1AECB390" w14:textId="77777777" w:rsidR="004E4AED" w:rsidRPr="0087406F" w:rsidRDefault="004E4AED" w:rsidP="00FD0A15">
            <w:pPr>
              <w:jc w:val="center"/>
              <w:rPr>
                <w:b/>
              </w:rPr>
            </w:pPr>
            <w:r w:rsidRPr="0087406F">
              <w:rPr>
                <w:b/>
                <w:color w:val="00B050"/>
              </w:rPr>
              <w:t>270</w:t>
            </w:r>
          </w:p>
        </w:tc>
        <w:tc>
          <w:tcPr>
            <w:tcW w:w="889" w:type="dxa"/>
          </w:tcPr>
          <w:p w14:paraId="05B15443" w14:textId="77777777" w:rsidR="004E4AED" w:rsidRPr="000C49FD" w:rsidRDefault="004E4AED" w:rsidP="00FD0A15">
            <w:pPr>
              <w:jc w:val="center"/>
              <w:rPr>
                <w:b/>
              </w:rPr>
            </w:pPr>
            <w:r w:rsidRPr="000C49FD">
              <w:rPr>
                <w:b/>
                <w:color w:val="FFC000"/>
              </w:rPr>
              <w:t>439</w:t>
            </w:r>
          </w:p>
        </w:tc>
        <w:tc>
          <w:tcPr>
            <w:tcW w:w="1011" w:type="dxa"/>
          </w:tcPr>
          <w:p w14:paraId="7EFA439C" w14:textId="77777777" w:rsidR="004E4AED" w:rsidRPr="004B03FF" w:rsidRDefault="004E4AED" w:rsidP="00FD0A15">
            <w:pPr>
              <w:jc w:val="center"/>
              <w:rPr>
                <w:b/>
              </w:rPr>
            </w:pPr>
            <w:r w:rsidRPr="004B03FF">
              <w:rPr>
                <w:b/>
                <w:color w:val="FF0000"/>
              </w:rPr>
              <w:t>564</w:t>
            </w:r>
          </w:p>
        </w:tc>
        <w:tc>
          <w:tcPr>
            <w:tcW w:w="1011" w:type="dxa"/>
          </w:tcPr>
          <w:p w14:paraId="6200BD7E" w14:textId="77777777" w:rsidR="004E4AED" w:rsidRPr="004B03FF" w:rsidRDefault="00EE1AA4" w:rsidP="00FD0A15">
            <w:pPr>
              <w:jc w:val="center"/>
              <w:rPr>
                <w:b/>
                <w:color w:val="FF0000"/>
              </w:rPr>
            </w:pPr>
            <w:r>
              <w:rPr>
                <w:b/>
                <w:color w:val="FF0000"/>
              </w:rPr>
              <w:t>640</w:t>
            </w:r>
          </w:p>
        </w:tc>
      </w:tr>
      <w:tr w:rsidR="004E4AED" w:rsidRPr="0087406F" w14:paraId="3C816C04" w14:textId="77777777" w:rsidTr="0018360D">
        <w:trPr>
          <w:jc w:val="center"/>
        </w:trPr>
        <w:tc>
          <w:tcPr>
            <w:tcW w:w="3584" w:type="dxa"/>
          </w:tcPr>
          <w:p w14:paraId="2EEC114B" w14:textId="77777777" w:rsidR="004E4AED" w:rsidRPr="0087406F" w:rsidRDefault="004E4AED" w:rsidP="00FD2ED3">
            <w:r w:rsidRPr="0087406F">
              <w:t>No of positive comments</w:t>
            </w:r>
          </w:p>
        </w:tc>
        <w:tc>
          <w:tcPr>
            <w:tcW w:w="842" w:type="dxa"/>
          </w:tcPr>
          <w:p w14:paraId="316025F7" w14:textId="77777777" w:rsidR="004E4AED" w:rsidRPr="0087406F" w:rsidRDefault="004E4AED" w:rsidP="00FD0A15">
            <w:pPr>
              <w:jc w:val="center"/>
            </w:pPr>
            <w:r w:rsidRPr="0087406F">
              <w:t>3 per month</w:t>
            </w:r>
          </w:p>
        </w:tc>
        <w:tc>
          <w:tcPr>
            <w:tcW w:w="821" w:type="dxa"/>
          </w:tcPr>
          <w:p w14:paraId="509D45A7" w14:textId="77777777" w:rsidR="004E4AED" w:rsidRPr="0087406F" w:rsidRDefault="004E4AED" w:rsidP="00FD0A15">
            <w:pPr>
              <w:jc w:val="center"/>
            </w:pPr>
            <w:r w:rsidRPr="0087406F">
              <w:t>Not known</w:t>
            </w:r>
          </w:p>
        </w:tc>
        <w:tc>
          <w:tcPr>
            <w:tcW w:w="985" w:type="dxa"/>
          </w:tcPr>
          <w:p w14:paraId="3C85F81A" w14:textId="77777777" w:rsidR="004E4AED" w:rsidRPr="0087406F" w:rsidRDefault="004E4AED" w:rsidP="00FD0A15">
            <w:pPr>
              <w:jc w:val="center"/>
              <w:rPr>
                <w:b/>
                <w:color w:val="00B050"/>
              </w:rPr>
            </w:pPr>
            <w:r w:rsidRPr="0087406F">
              <w:rPr>
                <w:b/>
                <w:color w:val="00B050"/>
              </w:rPr>
              <w:t>19</w:t>
            </w:r>
          </w:p>
        </w:tc>
        <w:tc>
          <w:tcPr>
            <w:tcW w:w="954" w:type="dxa"/>
          </w:tcPr>
          <w:p w14:paraId="7A8BCE84" w14:textId="77777777" w:rsidR="004E4AED" w:rsidRPr="0087406F" w:rsidRDefault="004E4AED" w:rsidP="00FD0A15">
            <w:pPr>
              <w:jc w:val="center"/>
              <w:rPr>
                <w:b/>
                <w:color w:val="00B050"/>
              </w:rPr>
            </w:pPr>
            <w:r w:rsidRPr="0087406F">
              <w:rPr>
                <w:b/>
                <w:color w:val="00B050"/>
              </w:rPr>
              <w:t>13</w:t>
            </w:r>
          </w:p>
        </w:tc>
        <w:tc>
          <w:tcPr>
            <w:tcW w:w="889" w:type="dxa"/>
          </w:tcPr>
          <w:p w14:paraId="607E8C52" w14:textId="77777777" w:rsidR="004E4AED" w:rsidRPr="00711473" w:rsidRDefault="004E4AED" w:rsidP="00FD0A15">
            <w:pPr>
              <w:jc w:val="center"/>
              <w:rPr>
                <w:b/>
              </w:rPr>
            </w:pPr>
            <w:r w:rsidRPr="00711473">
              <w:rPr>
                <w:b/>
                <w:color w:val="00B050"/>
              </w:rPr>
              <w:t>13</w:t>
            </w:r>
          </w:p>
        </w:tc>
        <w:tc>
          <w:tcPr>
            <w:tcW w:w="1011" w:type="dxa"/>
          </w:tcPr>
          <w:p w14:paraId="71DA150E" w14:textId="77777777" w:rsidR="004E4AED" w:rsidRPr="00C77EFB" w:rsidRDefault="004E4AED" w:rsidP="00FD0A15">
            <w:pPr>
              <w:jc w:val="center"/>
              <w:rPr>
                <w:b/>
              </w:rPr>
            </w:pPr>
            <w:r w:rsidRPr="00C77EFB">
              <w:rPr>
                <w:b/>
                <w:color w:val="00B050"/>
              </w:rPr>
              <w:t>13</w:t>
            </w:r>
          </w:p>
        </w:tc>
        <w:tc>
          <w:tcPr>
            <w:tcW w:w="1011" w:type="dxa"/>
          </w:tcPr>
          <w:p w14:paraId="5666B02C" w14:textId="77777777" w:rsidR="004E4AED" w:rsidRPr="00C77EFB" w:rsidRDefault="004E4AED" w:rsidP="00FD0A15">
            <w:pPr>
              <w:jc w:val="center"/>
              <w:rPr>
                <w:b/>
                <w:color w:val="00B050"/>
              </w:rPr>
            </w:pPr>
          </w:p>
        </w:tc>
      </w:tr>
    </w:tbl>
    <w:p w14:paraId="4C199BBC" w14:textId="77777777" w:rsidR="0087406F" w:rsidRDefault="00124964" w:rsidP="00C77EFB">
      <w:pPr>
        <w:ind w:left="851" w:hanging="851"/>
      </w:pPr>
      <w:r>
        <w:rPr>
          <w:sz w:val="24"/>
          <w:szCs w:val="24"/>
        </w:rPr>
        <w:t>Notes:</w:t>
      </w:r>
      <w:r w:rsidR="0087406F">
        <w:rPr>
          <w:sz w:val="24"/>
          <w:szCs w:val="24"/>
        </w:rPr>
        <w:t xml:space="preserve">  </w:t>
      </w:r>
      <w:r w:rsidR="006A6E2A" w:rsidRPr="0087406F">
        <w:t xml:space="preserve">No of volunteers is measured by </w:t>
      </w:r>
      <w:r w:rsidR="00E65B53" w:rsidRPr="0087406F">
        <w:t xml:space="preserve">the </w:t>
      </w:r>
      <w:r w:rsidR="00E65B53">
        <w:t>active volunteers</w:t>
      </w:r>
      <w:r w:rsidR="00C77EFB">
        <w:t xml:space="preserve"> </w:t>
      </w:r>
      <w:r w:rsidR="003640BC" w:rsidRPr="0087406F">
        <w:t xml:space="preserve">who have worked </w:t>
      </w:r>
      <w:r w:rsidR="00C77EFB">
        <w:t>in the shop or who are relied on for other support</w:t>
      </w:r>
      <w:r w:rsidR="00E65B53">
        <w:t xml:space="preserve"> in that quarter</w:t>
      </w:r>
      <w:r w:rsidR="003640BC" w:rsidRPr="0087406F">
        <w:t>.</w:t>
      </w:r>
    </w:p>
    <w:p w14:paraId="0D7863AD" w14:textId="77777777" w:rsidR="0087406F" w:rsidRDefault="0087406F" w:rsidP="0087406F">
      <w:r>
        <w:t xml:space="preserve">               </w:t>
      </w:r>
      <w:r w:rsidR="006A6E2A" w:rsidRPr="0087406F">
        <w:t xml:space="preserve">No of visitors per month is based on a sample of one week every month (to start in </w:t>
      </w:r>
      <w:r w:rsidR="00177849" w:rsidRPr="0087406F">
        <w:t>Q2</w:t>
      </w:r>
      <w:r w:rsidR="006A6E2A" w:rsidRPr="0087406F">
        <w:t>)</w:t>
      </w:r>
    </w:p>
    <w:p w14:paraId="5E94984C" w14:textId="77777777" w:rsidR="0087406F" w:rsidRDefault="0087406F" w:rsidP="0087406F"/>
    <w:p w14:paraId="05A37B26" w14:textId="77777777" w:rsidR="0087406F" w:rsidRDefault="0087406F" w:rsidP="0087406F"/>
    <w:sectPr w:rsidR="0087406F" w:rsidSect="00F70B0C">
      <w:headerReference w:type="even" r:id="rId11"/>
      <w:headerReference w:type="default" r:id="rId12"/>
      <w:footerReference w:type="even" r:id="rId13"/>
      <w:footerReference w:type="default" r:id="rId14"/>
      <w:headerReference w:type="first" r:id="rId15"/>
      <w:footerReference w:type="first" r:id="rId16"/>
      <w:pgSz w:w="11906" w:h="16838"/>
      <w:pgMar w:top="397" w:right="567" w:bottom="39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CF4C3" w14:textId="77777777" w:rsidR="00D1060B" w:rsidRDefault="00D1060B" w:rsidP="00A205E0">
      <w:pPr>
        <w:spacing w:after="0" w:line="240" w:lineRule="auto"/>
      </w:pPr>
      <w:r>
        <w:separator/>
      </w:r>
    </w:p>
  </w:endnote>
  <w:endnote w:type="continuationSeparator" w:id="0">
    <w:p w14:paraId="370FAEE9" w14:textId="77777777" w:rsidR="00D1060B" w:rsidRDefault="00D1060B" w:rsidP="00A2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D19C7" w14:textId="77777777" w:rsidR="00A205E0" w:rsidRDefault="00A20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72BC" w14:textId="77777777" w:rsidR="00A205E0" w:rsidRDefault="00A205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631B" w14:textId="77777777" w:rsidR="00A205E0" w:rsidRDefault="00A20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2FE1" w14:textId="77777777" w:rsidR="00D1060B" w:rsidRDefault="00D1060B" w:rsidP="00A205E0">
      <w:pPr>
        <w:spacing w:after="0" w:line="240" w:lineRule="auto"/>
      </w:pPr>
      <w:r>
        <w:separator/>
      </w:r>
    </w:p>
  </w:footnote>
  <w:footnote w:type="continuationSeparator" w:id="0">
    <w:p w14:paraId="72F4BF0F" w14:textId="77777777" w:rsidR="00D1060B" w:rsidRDefault="00D1060B" w:rsidP="00A20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9A24" w14:textId="77777777" w:rsidR="00A205E0" w:rsidRDefault="00A20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B6DA9" w14:textId="77777777" w:rsidR="00A205E0" w:rsidRDefault="00A205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ACBA" w14:textId="77777777" w:rsidR="00A205E0" w:rsidRDefault="00A20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3CC4"/>
    <w:multiLevelType w:val="hybridMultilevel"/>
    <w:tmpl w:val="E1344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84F50"/>
    <w:multiLevelType w:val="hybridMultilevel"/>
    <w:tmpl w:val="0A92B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CA23E3"/>
    <w:multiLevelType w:val="hybridMultilevel"/>
    <w:tmpl w:val="DA00C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B0A5E"/>
    <w:multiLevelType w:val="hybridMultilevel"/>
    <w:tmpl w:val="E3142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A55B41"/>
    <w:multiLevelType w:val="hybridMultilevel"/>
    <w:tmpl w:val="A3905F10"/>
    <w:lvl w:ilvl="0" w:tplc="97D09F3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7EBA7A2E"/>
    <w:multiLevelType w:val="hybridMultilevel"/>
    <w:tmpl w:val="01847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ED3"/>
    <w:rsid w:val="00000F0F"/>
    <w:rsid w:val="00023704"/>
    <w:rsid w:val="00027355"/>
    <w:rsid w:val="00041494"/>
    <w:rsid w:val="0007213A"/>
    <w:rsid w:val="00095A4F"/>
    <w:rsid w:val="000B44B4"/>
    <w:rsid w:val="000C406B"/>
    <w:rsid w:val="000C49FD"/>
    <w:rsid w:val="0011539A"/>
    <w:rsid w:val="00124964"/>
    <w:rsid w:val="00177849"/>
    <w:rsid w:val="00191A8D"/>
    <w:rsid w:val="001C2931"/>
    <w:rsid w:val="001F7AC3"/>
    <w:rsid w:val="00212531"/>
    <w:rsid w:val="00220829"/>
    <w:rsid w:val="00222391"/>
    <w:rsid w:val="0022606A"/>
    <w:rsid w:val="00233A58"/>
    <w:rsid w:val="0023505E"/>
    <w:rsid w:val="0029473E"/>
    <w:rsid w:val="002A2A38"/>
    <w:rsid w:val="002A2DD8"/>
    <w:rsid w:val="002C0C15"/>
    <w:rsid w:val="002F6EF9"/>
    <w:rsid w:val="00313899"/>
    <w:rsid w:val="00315D91"/>
    <w:rsid w:val="003429E5"/>
    <w:rsid w:val="003619E4"/>
    <w:rsid w:val="003640BC"/>
    <w:rsid w:val="00384570"/>
    <w:rsid w:val="003963CE"/>
    <w:rsid w:val="003B0C58"/>
    <w:rsid w:val="003B62C8"/>
    <w:rsid w:val="003B6EFE"/>
    <w:rsid w:val="003C5C88"/>
    <w:rsid w:val="003E0776"/>
    <w:rsid w:val="003E201D"/>
    <w:rsid w:val="00460909"/>
    <w:rsid w:val="0046559B"/>
    <w:rsid w:val="00476C47"/>
    <w:rsid w:val="00477AF9"/>
    <w:rsid w:val="004B03FF"/>
    <w:rsid w:val="004C4A84"/>
    <w:rsid w:val="004D4BEE"/>
    <w:rsid w:val="004D5CF3"/>
    <w:rsid w:val="004E4AED"/>
    <w:rsid w:val="004E7070"/>
    <w:rsid w:val="005B773B"/>
    <w:rsid w:val="005C7FD5"/>
    <w:rsid w:val="005D47E3"/>
    <w:rsid w:val="00632618"/>
    <w:rsid w:val="0063470A"/>
    <w:rsid w:val="006477C4"/>
    <w:rsid w:val="006A6E2A"/>
    <w:rsid w:val="006D4097"/>
    <w:rsid w:val="006F1FBE"/>
    <w:rsid w:val="006F5C0F"/>
    <w:rsid w:val="00711473"/>
    <w:rsid w:val="00756D82"/>
    <w:rsid w:val="007652D1"/>
    <w:rsid w:val="0077417E"/>
    <w:rsid w:val="007855F5"/>
    <w:rsid w:val="00796CC8"/>
    <w:rsid w:val="007A4C84"/>
    <w:rsid w:val="007D1BBA"/>
    <w:rsid w:val="007D2F48"/>
    <w:rsid w:val="007D68C8"/>
    <w:rsid w:val="008063E9"/>
    <w:rsid w:val="008113D1"/>
    <w:rsid w:val="00824A32"/>
    <w:rsid w:val="00863D1B"/>
    <w:rsid w:val="0087406F"/>
    <w:rsid w:val="00884989"/>
    <w:rsid w:val="008B3255"/>
    <w:rsid w:val="008B5A76"/>
    <w:rsid w:val="008B7677"/>
    <w:rsid w:val="008D5F3F"/>
    <w:rsid w:val="008F6AE2"/>
    <w:rsid w:val="00903993"/>
    <w:rsid w:val="00916686"/>
    <w:rsid w:val="009910F5"/>
    <w:rsid w:val="009A3530"/>
    <w:rsid w:val="009A65B8"/>
    <w:rsid w:val="009A7FB2"/>
    <w:rsid w:val="009E2A89"/>
    <w:rsid w:val="00A11D73"/>
    <w:rsid w:val="00A205E0"/>
    <w:rsid w:val="00A57139"/>
    <w:rsid w:val="00A61C44"/>
    <w:rsid w:val="00A7121F"/>
    <w:rsid w:val="00AC5626"/>
    <w:rsid w:val="00AD25FD"/>
    <w:rsid w:val="00B218EE"/>
    <w:rsid w:val="00B23AF6"/>
    <w:rsid w:val="00B25D9B"/>
    <w:rsid w:val="00B405C0"/>
    <w:rsid w:val="00B616AC"/>
    <w:rsid w:val="00BC3798"/>
    <w:rsid w:val="00BF46AA"/>
    <w:rsid w:val="00BF7E82"/>
    <w:rsid w:val="00C24B17"/>
    <w:rsid w:val="00C579F2"/>
    <w:rsid w:val="00C72ECE"/>
    <w:rsid w:val="00C77EFB"/>
    <w:rsid w:val="00CD35A5"/>
    <w:rsid w:val="00CE5090"/>
    <w:rsid w:val="00CF154A"/>
    <w:rsid w:val="00D1060B"/>
    <w:rsid w:val="00D11C5F"/>
    <w:rsid w:val="00D74DA6"/>
    <w:rsid w:val="00D8019B"/>
    <w:rsid w:val="00D944B5"/>
    <w:rsid w:val="00DB4501"/>
    <w:rsid w:val="00DB53C4"/>
    <w:rsid w:val="00DB7AB9"/>
    <w:rsid w:val="00DC0C68"/>
    <w:rsid w:val="00E07EE5"/>
    <w:rsid w:val="00E65B53"/>
    <w:rsid w:val="00E93068"/>
    <w:rsid w:val="00EA1FA3"/>
    <w:rsid w:val="00EE0F90"/>
    <w:rsid w:val="00EE1AA4"/>
    <w:rsid w:val="00EF2E8D"/>
    <w:rsid w:val="00EF71C4"/>
    <w:rsid w:val="00F20A47"/>
    <w:rsid w:val="00F3269F"/>
    <w:rsid w:val="00F63F82"/>
    <w:rsid w:val="00F70B0C"/>
    <w:rsid w:val="00F821B5"/>
    <w:rsid w:val="00F9313E"/>
    <w:rsid w:val="00FB7DBF"/>
    <w:rsid w:val="00FC40C2"/>
    <w:rsid w:val="00FD0A15"/>
    <w:rsid w:val="00FD0DD3"/>
    <w:rsid w:val="00FD2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7A9968"/>
  <w15:chartTrackingRefBased/>
  <w15:docId w15:val="{FC8569DF-C1C2-419C-99BC-BAA276FC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355"/>
    <w:pPr>
      <w:ind w:left="720"/>
      <w:contextualSpacing/>
    </w:pPr>
  </w:style>
  <w:style w:type="table" w:styleId="TableGrid">
    <w:name w:val="Table Grid"/>
    <w:basedOn w:val="TableNormal"/>
    <w:uiPriority w:val="39"/>
    <w:rsid w:val="0002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090"/>
    <w:rPr>
      <w:rFonts w:ascii="Segoe UI" w:hAnsi="Segoe UI" w:cs="Segoe UI"/>
      <w:sz w:val="18"/>
      <w:szCs w:val="18"/>
    </w:rPr>
  </w:style>
  <w:style w:type="paragraph" w:styleId="Header">
    <w:name w:val="header"/>
    <w:basedOn w:val="Normal"/>
    <w:link w:val="HeaderChar"/>
    <w:uiPriority w:val="99"/>
    <w:unhideWhenUsed/>
    <w:rsid w:val="00A20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5E0"/>
  </w:style>
  <w:style w:type="paragraph" w:styleId="Footer">
    <w:name w:val="footer"/>
    <w:basedOn w:val="Normal"/>
    <w:link w:val="FooterChar"/>
    <w:uiPriority w:val="99"/>
    <w:unhideWhenUsed/>
    <w:rsid w:val="00A20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6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Gemma Quarendon</cp:lastModifiedBy>
  <cp:revision>2</cp:revision>
  <cp:lastPrinted>2016-08-24T11:45:00Z</cp:lastPrinted>
  <dcterms:created xsi:type="dcterms:W3CDTF">2018-03-13T13:18:00Z</dcterms:created>
  <dcterms:modified xsi:type="dcterms:W3CDTF">2018-03-13T13:18:00Z</dcterms:modified>
</cp:coreProperties>
</file>